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5A41B7"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42B3E03" wp14:editId="59F6B016">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491A83" w:rsidRPr="005E3A10" w:rsidRDefault="00F464CA" w:rsidP="00A53B04">
            <w:pPr>
              <w:rPr>
                <w:rFonts w:cs="Arial"/>
                <w:szCs w:val="24"/>
              </w:rPr>
            </w:pPr>
            <w:r w:rsidRPr="00F464CA">
              <w:rPr>
                <w:rFonts w:cs="Arial"/>
                <w:szCs w:val="24"/>
              </w:rPr>
              <w:t>19</w:t>
            </w:r>
            <w:r w:rsidR="00491A83" w:rsidRPr="00F464CA">
              <w:rPr>
                <w:rFonts w:cs="Arial"/>
                <w:szCs w:val="24"/>
              </w:rPr>
              <w:t xml:space="preserve"> March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C32BF9" w:rsidRPr="00262DAB" w:rsidRDefault="007C50FE" w:rsidP="00C32BF9">
            <w:pPr>
              <w:pStyle w:val="Heading2"/>
              <w:rPr>
                <w:rFonts w:cs="Times New Roman"/>
                <w:b w:val="0"/>
                <w:bCs w:val="0"/>
                <w:color w:val="7030A0"/>
                <w:sz w:val="22"/>
                <w:szCs w:val="20"/>
              </w:rPr>
            </w:pPr>
            <w:r w:rsidRPr="00262DAB">
              <w:rPr>
                <w:b w:val="0"/>
                <w:sz w:val="24"/>
                <w:szCs w:val="24"/>
              </w:rPr>
              <w:t>In principle approval for d</w:t>
            </w:r>
            <w:r w:rsidR="00A71E2C" w:rsidRPr="00262DAB">
              <w:rPr>
                <w:b w:val="0"/>
                <w:sz w:val="24"/>
                <w:szCs w:val="24"/>
              </w:rPr>
              <w:t xml:space="preserve">isposal of small </w:t>
            </w:r>
            <w:r w:rsidR="00DE6AD2">
              <w:rPr>
                <w:b w:val="0"/>
                <w:sz w:val="24"/>
                <w:szCs w:val="24"/>
              </w:rPr>
              <w:t>Housing Revenue Account (</w:t>
            </w:r>
            <w:r w:rsidR="00A71E2C" w:rsidRPr="00262DAB">
              <w:rPr>
                <w:b w:val="0"/>
                <w:sz w:val="24"/>
                <w:szCs w:val="24"/>
              </w:rPr>
              <w:t>HRA</w:t>
            </w:r>
            <w:r w:rsidR="00DE6AD2">
              <w:rPr>
                <w:b w:val="0"/>
                <w:sz w:val="24"/>
                <w:szCs w:val="24"/>
              </w:rPr>
              <w:t>)</w:t>
            </w:r>
            <w:r w:rsidR="00A71E2C" w:rsidRPr="00262DAB">
              <w:rPr>
                <w:b w:val="0"/>
                <w:sz w:val="24"/>
                <w:szCs w:val="24"/>
              </w:rPr>
              <w:t xml:space="preserve"> sites </w:t>
            </w:r>
            <w:r w:rsidR="0058745B" w:rsidRPr="00262DAB">
              <w:rPr>
                <w:b w:val="0"/>
                <w:sz w:val="24"/>
                <w:szCs w:val="24"/>
              </w:rPr>
              <w:t xml:space="preserve">to </w:t>
            </w:r>
            <w:r w:rsidR="006F40F5" w:rsidRPr="00262DAB">
              <w:rPr>
                <w:b w:val="0"/>
                <w:sz w:val="24"/>
                <w:szCs w:val="24"/>
              </w:rPr>
              <w:t>C</w:t>
            </w:r>
            <w:r w:rsidR="0058745B" w:rsidRPr="00262DAB">
              <w:rPr>
                <w:b w:val="0"/>
                <w:sz w:val="24"/>
                <w:szCs w:val="24"/>
              </w:rPr>
              <w:t>ommunity</w:t>
            </w:r>
            <w:r w:rsidR="006F40F5" w:rsidRPr="00262DAB">
              <w:rPr>
                <w:b w:val="0"/>
                <w:sz w:val="24"/>
                <w:szCs w:val="24"/>
              </w:rPr>
              <w:t xml:space="preserve"> groups</w:t>
            </w:r>
            <w:r w:rsidR="0058745B" w:rsidRPr="00262DAB">
              <w:rPr>
                <w:b w:val="0"/>
                <w:sz w:val="24"/>
                <w:szCs w:val="24"/>
              </w:rPr>
              <w:t xml:space="preserve"> for development </w:t>
            </w:r>
            <w:r w:rsidR="00F92682" w:rsidRPr="00262DAB">
              <w:rPr>
                <w:b w:val="0"/>
                <w:sz w:val="24"/>
                <w:szCs w:val="24"/>
              </w:rPr>
              <w:t>of</w:t>
            </w:r>
            <w:r w:rsidR="00A71E2C" w:rsidRPr="00262DAB">
              <w:rPr>
                <w:b w:val="0"/>
                <w:sz w:val="24"/>
                <w:szCs w:val="24"/>
              </w:rPr>
              <w:t xml:space="preserve"> Community Led Housing </w:t>
            </w:r>
          </w:p>
          <w:p w:rsidR="00333FAA" w:rsidRPr="00AA35D1" w:rsidRDefault="00333FAA" w:rsidP="0058745B">
            <w:pPr>
              <w:rPr>
                <w:rFonts w:cs="Arial"/>
                <w:szCs w:val="24"/>
              </w:rPr>
            </w:pP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7B50" w:rsidRDefault="00333FAA" w:rsidP="00A53B04">
            <w:pPr>
              <w:pStyle w:val="Infotext"/>
              <w:rPr>
                <w:rFonts w:ascii="Arial Black" w:hAnsi="Arial Black" w:cs="Arial"/>
                <w:color w:val="7030A0"/>
              </w:rPr>
            </w:pPr>
          </w:p>
        </w:tc>
        <w:tc>
          <w:tcPr>
            <w:tcW w:w="5054" w:type="dxa"/>
          </w:tcPr>
          <w:p w:rsidR="001C7E35" w:rsidRPr="00302BD2" w:rsidRDefault="00302BD2" w:rsidP="001C7E35">
            <w:pPr>
              <w:pStyle w:val="Infotext"/>
              <w:rPr>
                <w:rFonts w:cs="Arial"/>
                <w:sz w:val="24"/>
                <w:szCs w:val="24"/>
              </w:rPr>
            </w:pPr>
            <w:r w:rsidRPr="00302BD2">
              <w:rPr>
                <w:rFonts w:cs="Arial"/>
                <w:sz w:val="24"/>
                <w:szCs w:val="24"/>
              </w:rPr>
              <w:t>Yes</w:t>
            </w:r>
          </w:p>
          <w:p w:rsidR="00945047" w:rsidRDefault="00945047" w:rsidP="001C7E35">
            <w:pPr>
              <w:pStyle w:val="Infotext"/>
              <w:rPr>
                <w:rFonts w:cs="Arial"/>
                <w:color w:val="FF0000"/>
                <w:sz w:val="24"/>
                <w:szCs w:val="24"/>
              </w:rPr>
            </w:pPr>
          </w:p>
          <w:p w:rsidR="00945047" w:rsidRPr="00DD4106" w:rsidRDefault="00945047" w:rsidP="00945047">
            <w:pPr>
              <w:rPr>
                <w:rFonts w:cs="Arial"/>
                <w:szCs w:val="24"/>
              </w:rPr>
            </w:pPr>
            <w:r w:rsidRPr="00DD4106">
              <w:rPr>
                <w:rFonts w:cs="Arial"/>
                <w:szCs w:val="24"/>
              </w:rPr>
              <w:t>Decision is likely to be significant in terms of its effects on communities living or working in an area of two or more wards in the Borough</w:t>
            </w:r>
          </w:p>
          <w:p w:rsidR="00945047" w:rsidRPr="005E3A10" w:rsidRDefault="00945047" w:rsidP="001C7E35">
            <w:pPr>
              <w:pStyle w:val="Infotext"/>
              <w:rPr>
                <w:rFonts w:cs="Arial"/>
                <w:color w:val="FF0000"/>
                <w:sz w:val="24"/>
                <w:szCs w:val="24"/>
              </w:rPr>
            </w:pPr>
          </w:p>
          <w:p w:rsidR="00333FAA" w:rsidRPr="005E3A10" w:rsidRDefault="00333FAA" w:rsidP="00476168">
            <w:pPr>
              <w:pStyle w:val="Infotext"/>
              <w:rPr>
                <w:rFonts w:cs="Arial"/>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945047" w:rsidP="00D835CF">
            <w:pPr>
              <w:pStyle w:val="Infotext"/>
              <w:rPr>
                <w:rFonts w:cs="Arial"/>
                <w:sz w:val="24"/>
                <w:szCs w:val="24"/>
              </w:rPr>
            </w:pPr>
            <w:r w:rsidRPr="00945047">
              <w:rPr>
                <w:rFonts w:cs="Arial"/>
                <w:sz w:val="24"/>
                <w:szCs w:val="24"/>
              </w:rPr>
              <w:t xml:space="preserve">Nick Powell, </w:t>
            </w:r>
            <w:r w:rsidR="00554872">
              <w:rPr>
                <w:rFonts w:cs="Arial"/>
                <w:sz w:val="24"/>
                <w:szCs w:val="24"/>
              </w:rPr>
              <w:t xml:space="preserve">Divisional </w:t>
            </w:r>
            <w:r w:rsidRPr="00945047">
              <w:rPr>
                <w:rFonts w:cs="Arial"/>
                <w:sz w:val="24"/>
                <w:szCs w:val="24"/>
              </w:rPr>
              <w:t>Director of Housing</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B24ED2" w:rsidP="00D835CF">
            <w:pPr>
              <w:pStyle w:val="Infotext"/>
              <w:rPr>
                <w:rFonts w:cs="Arial"/>
                <w:color w:val="FF0000"/>
                <w:sz w:val="24"/>
                <w:szCs w:val="24"/>
              </w:rPr>
            </w:pPr>
            <w:r>
              <w:rPr>
                <w:rFonts w:cs="Arial"/>
                <w:sz w:val="24"/>
                <w:szCs w:val="24"/>
              </w:rPr>
              <w:t>Councillor</w:t>
            </w:r>
            <w:r w:rsidR="00945047" w:rsidRPr="00945047">
              <w:rPr>
                <w:rFonts w:cs="Arial"/>
                <w:sz w:val="24"/>
                <w:szCs w:val="24"/>
              </w:rPr>
              <w:t xml:space="preserve"> Philip O’Dell, Portfolio Holder for Housing</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572AB8" w:rsidP="00F464CA">
            <w:pPr>
              <w:pStyle w:val="Infotext"/>
              <w:rPr>
                <w:rFonts w:cs="Arial"/>
                <w:color w:val="FF0000"/>
                <w:sz w:val="24"/>
                <w:szCs w:val="24"/>
              </w:rPr>
            </w:pPr>
            <w:r w:rsidRPr="00572AB8">
              <w:rPr>
                <w:rFonts w:cs="Arial"/>
                <w:sz w:val="24"/>
                <w:szCs w:val="24"/>
              </w:rPr>
              <w:t xml:space="preserve">No but Appendix </w:t>
            </w:r>
            <w:r w:rsidR="00F464CA">
              <w:rPr>
                <w:rFonts w:cs="Arial"/>
                <w:sz w:val="24"/>
                <w:szCs w:val="24"/>
              </w:rPr>
              <w:t>B</w:t>
            </w:r>
            <w:r w:rsidR="009826C4" w:rsidRPr="00572AB8">
              <w:rPr>
                <w:rFonts w:cs="Arial"/>
                <w:sz w:val="24"/>
                <w:szCs w:val="24"/>
              </w:rPr>
              <w:t xml:space="preserve"> </w:t>
            </w:r>
            <w:r w:rsidRPr="00572AB8">
              <w:rPr>
                <w:rFonts w:cs="Arial"/>
                <w:sz w:val="24"/>
                <w:szCs w:val="24"/>
              </w:rPr>
              <w:t xml:space="preserve">is exempt  - by virtue of paragraph 3 of </w:t>
            </w:r>
            <w:r w:rsidR="008213F5" w:rsidRPr="008213F5">
              <w:rPr>
                <w:rFonts w:cs="Arial"/>
                <w:sz w:val="24"/>
                <w:szCs w:val="24"/>
              </w:rPr>
              <w:t xml:space="preserve">schedule 12A of </w:t>
            </w:r>
            <w:r w:rsidRPr="00572AB8">
              <w:rPr>
                <w:rFonts w:cs="Arial"/>
                <w:sz w:val="24"/>
                <w:szCs w:val="24"/>
              </w:rPr>
              <w:t xml:space="preserve">the Local Government Act 1972 (as amended) in that it contains  financial information </w:t>
            </w:r>
          </w:p>
        </w:tc>
      </w:tr>
      <w:tr w:rsidR="001C7E35">
        <w:trPr>
          <w:gridAfter w:val="1"/>
          <w:wAfter w:w="15" w:type="dxa"/>
        </w:trPr>
        <w:tc>
          <w:tcPr>
            <w:tcW w:w="3456" w:type="dxa"/>
          </w:tcPr>
          <w:p w:rsidR="00AA35D1" w:rsidRDefault="00AA35D1" w:rsidP="00DB6C3D">
            <w:pPr>
              <w:pStyle w:val="Infotext"/>
              <w:rPr>
                <w:rFonts w:ascii="Arial Black" w:hAnsi="Arial Black"/>
              </w:rPr>
            </w:pPr>
          </w:p>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7B50" w:rsidRDefault="001C7E35" w:rsidP="00A53B04">
            <w:pPr>
              <w:pStyle w:val="BodyText"/>
              <w:rPr>
                <w:rFonts w:ascii="Arial Black" w:hAnsi="Arial Black"/>
                <w:i w:val="0"/>
                <w:color w:val="7030A0"/>
              </w:rPr>
            </w:pPr>
          </w:p>
        </w:tc>
        <w:tc>
          <w:tcPr>
            <w:tcW w:w="5054" w:type="dxa"/>
          </w:tcPr>
          <w:p w:rsidR="00AA35D1" w:rsidRDefault="00AA35D1" w:rsidP="00D835CF">
            <w:pPr>
              <w:pStyle w:val="Infotext"/>
              <w:rPr>
                <w:rFonts w:cs="Arial"/>
                <w:sz w:val="24"/>
                <w:szCs w:val="24"/>
              </w:rPr>
            </w:pPr>
          </w:p>
          <w:p w:rsidR="00AA35D1" w:rsidRDefault="00AA35D1" w:rsidP="00D835CF">
            <w:pPr>
              <w:pStyle w:val="Infotext"/>
              <w:rPr>
                <w:rFonts w:cs="Arial"/>
                <w:sz w:val="24"/>
                <w:szCs w:val="24"/>
              </w:rPr>
            </w:pPr>
          </w:p>
          <w:p w:rsidR="001C7E35" w:rsidRPr="00C40D67" w:rsidRDefault="00C40D67" w:rsidP="00D835CF">
            <w:pPr>
              <w:pStyle w:val="Infotext"/>
              <w:rPr>
                <w:rFonts w:cs="Arial"/>
                <w:sz w:val="24"/>
                <w:szCs w:val="24"/>
              </w:rPr>
            </w:pPr>
            <w:r w:rsidRPr="00C40D67">
              <w:rPr>
                <w:rFonts w:cs="Arial"/>
                <w:sz w:val="24"/>
                <w:szCs w:val="24"/>
              </w:rPr>
              <w:t xml:space="preserve">Yes </w:t>
            </w:r>
          </w:p>
          <w:p w:rsidR="00714BEE" w:rsidRPr="005E3A10" w:rsidRDefault="00714BEE" w:rsidP="00B10BFF">
            <w:pPr>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Default="002B6612" w:rsidP="00D835CF">
            <w:pPr>
              <w:rPr>
                <w:rFonts w:cs="Arial"/>
                <w:szCs w:val="24"/>
              </w:rPr>
            </w:pPr>
            <w:r>
              <w:rPr>
                <w:rFonts w:cs="Arial"/>
                <w:szCs w:val="24"/>
              </w:rPr>
              <w:t>Edgware, Wealdstone, Harrow-on-the-Hill, Pinner South, Canons</w:t>
            </w:r>
            <w:r w:rsidR="00307F76">
              <w:rPr>
                <w:rFonts w:cs="Arial"/>
                <w:szCs w:val="24"/>
              </w:rPr>
              <w:t>.</w:t>
            </w:r>
          </w:p>
          <w:p w:rsidR="00307F76" w:rsidRPr="00307F76" w:rsidRDefault="00307F76" w:rsidP="00D835CF">
            <w:pPr>
              <w:rPr>
                <w:rFonts w:cs="Arial"/>
                <w:b/>
                <w:color w:val="FF0000"/>
                <w:szCs w:val="24"/>
              </w:rPr>
            </w:pP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AE760C" w:rsidRPr="0054031D" w:rsidRDefault="00B132C7" w:rsidP="00DB6C3D">
            <w:pPr>
              <w:pStyle w:val="Infotext"/>
              <w:rPr>
                <w:sz w:val="24"/>
                <w:szCs w:val="24"/>
              </w:rPr>
            </w:pPr>
            <w:r>
              <w:rPr>
                <w:sz w:val="24"/>
                <w:szCs w:val="24"/>
              </w:rPr>
              <w:t xml:space="preserve">Appendix </w:t>
            </w:r>
            <w:r w:rsidR="00F92682" w:rsidRPr="0054031D">
              <w:rPr>
                <w:sz w:val="24"/>
                <w:szCs w:val="24"/>
              </w:rPr>
              <w:t>A</w:t>
            </w:r>
            <w:r w:rsidR="00554872">
              <w:rPr>
                <w:sz w:val="24"/>
                <w:szCs w:val="24"/>
              </w:rPr>
              <w:t xml:space="preserve"> – Proposed CLH sites</w:t>
            </w:r>
          </w:p>
          <w:p w:rsidR="00CD0F63" w:rsidRPr="00CD0F63" w:rsidRDefault="00AE760C" w:rsidP="00554872">
            <w:pPr>
              <w:pStyle w:val="Infotext"/>
              <w:rPr>
                <w:b/>
                <w:color w:val="FF0000"/>
                <w:sz w:val="24"/>
                <w:szCs w:val="24"/>
              </w:rPr>
            </w:pPr>
            <w:r w:rsidRPr="0054031D">
              <w:rPr>
                <w:sz w:val="24"/>
                <w:szCs w:val="24"/>
              </w:rPr>
              <w:t xml:space="preserve">Appendix </w:t>
            </w:r>
            <w:r w:rsidR="00F464CA" w:rsidRPr="0054031D">
              <w:rPr>
                <w:sz w:val="24"/>
                <w:szCs w:val="24"/>
              </w:rPr>
              <w:t>B</w:t>
            </w:r>
            <w:r w:rsidRPr="0054031D">
              <w:rPr>
                <w:sz w:val="24"/>
                <w:szCs w:val="24"/>
              </w:rPr>
              <w:t xml:space="preserve"> </w:t>
            </w:r>
            <w:r w:rsidR="00554872">
              <w:rPr>
                <w:sz w:val="24"/>
                <w:szCs w:val="24"/>
              </w:rPr>
              <w:t xml:space="preserve">– exempt information </w:t>
            </w:r>
          </w:p>
        </w:tc>
      </w:tr>
    </w:tbl>
    <w:p w:rsidR="00333FAA" w:rsidRDefault="00333FAA" w:rsidP="00333FAA">
      <w:pPr>
        <w:rPr>
          <w:rFonts w:cs="Arial"/>
        </w:rPr>
      </w:pPr>
    </w:p>
    <w:p w:rsidR="004076C8" w:rsidRDefault="004076C8" w:rsidP="00333FAA">
      <w:pPr>
        <w:rPr>
          <w:rFonts w:cs="Arial"/>
        </w:rPr>
      </w:pPr>
    </w:p>
    <w:p w:rsidR="00B132C7" w:rsidRDefault="00B132C7" w:rsidP="00333FAA">
      <w:pPr>
        <w:rPr>
          <w:rFonts w:cs="Arial"/>
        </w:rPr>
      </w:pPr>
    </w:p>
    <w:p w:rsidR="0058722A" w:rsidRDefault="0058722A" w:rsidP="00333FAA">
      <w:pPr>
        <w:rPr>
          <w:rFonts w:cs="Arial"/>
        </w:rPr>
      </w:pPr>
    </w:p>
    <w:p w:rsidR="0058722A" w:rsidRDefault="0058722A" w:rsidP="00333FAA">
      <w:pPr>
        <w:rPr>
          <w:rFonts w:cs="Arial"/>
        </w:rPr>
      </w:pPr>
    </w:p>
    <w:p w:rsidR="0058722A" w:rsidRDefault="0058722A" w:rsidP="00333FAA">
      <w:pPr>
        <w:rPr>
          <w:rFonts w:cs="Arial"/>
        </w:rPr>
      </w:pPr>
    </w:p>
    <w:p w:rsidR="0058722A" w:rsidRDefault="0058722A"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33FAA" w:rsidTr="00262DAB">
        <w:tc>
          <w:tcPr>
            <w:tcW w:w="9322"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rsidTr="00262DAB">
        <w:tc>
          <w:tcPr>
            <w:tcW w:w="9322" w:type="dxa"/>
          </w:tcPr>
          <w:p w:rsidR="00333FAA" w:rsidRDefault="00333FAA" w:rsidP="00A53B04"/>
          <w:p w:rsidR="00964F07" w:rsidRDefault="00D27BEB" w:rsidP="00964F07">
            <w:r w:rsidRPr="00D27BEB">
              <w:t>This report seeks in principle approval to transfer the freehold or grant a l</w:t>
            </w:r>
            <w:r w:rsidR="00A41329">
              <w:t>ong lease (“Dispose”) of up to 5</w:t>
            </w:r>
            <w:r w:rsidRPr="00D27BEB">
              <w:t xml:space="preserve"> small</w:t>
            </w:r>
            <w:r>
              <w:t xml:space="preserve"> vacant </w:t>
            </w:r>
            <w:r w:rsidRPr="00D27BEB">
              <w:t xml:space="preserve">HRA sites at less than market value, including at nil consideration, to community groups to deliver housing via the GLA’s Community Led Housing initiative.  </w:t>
            </w:r>
          </w:p>
          <w:p w:rsidR="00D27BEB" w:rsidRPr="00964F07" w:rsidRDefault="00D27BEB" w:rsidP="00964F07"/>
          <w:p w:rsidR="001C7E35" w:rsidRDefault="001C7E35" w:rsidP="001C7E35">
            <w:pPr>
              <w:pStyle w:val="Heading2"/>
            </w:pPr>
            <w:r>
              <w:t xml:space="preserve">Recommendations: </w:t>
            </w:r>
          </w:p>
          <w:p w:rsidR="00484942" w:rsidRDefault="00484942" w:rsidP="0054590F"/>
          <w:p w:rsidR="001C7E35" w:rsidRDefault="001C7E35" w:rsidP="0054590F">
            <w:r>
              <w:t>Cabinet is requested to:</w:t>
            </w:r>
          </w:p>
          <w:p w:rsidR="005B164A" w:rsidRDefault="005B164A" w:rsidP="005B164A"/>
          <w:p w:rsidR="005B164A" w:rsidRDefault="005B164A" w:rsidP="005B164A"/>
          <w:p w:rsidR="00155C39" w:rsidRPr="00155C39" w:rsidRDefault="00155C39" w:rsidP="00155C39">
            <w:pPr>
              <w:numPr>
                <w:ilvl w:val="0"/>
                <w:numId w:val="30"/>
              </w:numPr>
            </w:pPr>
            <w:r w:rsidRPr="00155C39">
              <w:t>Note and approve the criteria for identifying suitable sites for this project set out in Section 2.1</w:t>
            </w:r>
            <w:r w:rsidR="00521651">
              <w:t>.1</w:t>
            </w:r>
            <w:r w:rsidRPr="00155C39">
              <w:t xml:space="preserve"> </w:t>
            </w:r>
            <w:r w:rsidR="00233EF2">
              <w:t>– 2.</w:t>
            </w:r>
            <w:r w:rsidR="00521651">
              <w:t>1.</w:t>
            </w:r>
            <w:r w:rsidR="00A42226">
              <w:t>5</w:t>
            </w:r>
            <w:r w:rsidR="00233EF2">
              <w:t xml:space="preserve"> </w:t>
            </w:r>
            <w:r w:rsidRPr="00155C39">
              <w:t>below.</w:t>
            </w:r>
          </w:p>
          <w:p w:rsidR="00155C39" w:rsidRPr="00155C39" w:rsidRDefault="00155C39" w:rsidP="00155C39">
            <w:pPr>
              <w:ind w:left="720"/>
            </w:pPr>
          </w:p>
          <w:p w:rsidR="00155C39" w:rsidRPr="00155C39" w:rsidRDefault="00155C39" w:rsidP="00155C39">
            <w:pPr>
              <w:numPr>
                <w:ilvl w:val="0"/>
                <w:numId w:val="30"/>
              </w:numPr>
            </w:pPr>
            <w:r w:rsidRPr="00155C39">
              <w:t xml:space="preserve">Authorise in principle the disposal of up to </w:t>
            </w:r>
            <w:r w:rsidR="008224F7">
              <w:t>five</w:t>
            </w:r>
            <w:r w:rsidRPr="00155C39">
              <w:t xml:space="preserve"> small vacant HRA sites as set      out in Appendix A</w:t>
            </w:r>
            <w:r>
              <w:t xml:space="preserve"> and paragraph 2.2</w:t>
            </w:r>
            <w:r w:rsidRPr="00155C39">
              <w:t xml:space="preserve"> (or replacement sites identified in accordance with Recommendation 4 below) at less than market value, including at nil consideration, to Community Led Housing groups to deliver housing </w:t>
            </w:r>
            <w:r w:rsidR="00082B60">
              <w:t>to contribute to</w:t>
            </w:r>
            <w:r w:rsidR="00082B60" w:rsidRPr="00155C39">
              <w:t xml:space="preserve"> </w:t>
            </w:r>
            <w:r w:rsidRPr="00155C39">
              <w:t xml:space="preserve">the GLA’s Community Led Housing </w:t>
            </w:r>
            <w:r w:rsidR="00082B60">
              <w:t>target</w:t>
            </w:r>
            <w:r w:rsidRPr="00155C39">
              <w:t>.</w:t>
            </w:r>
          </w:p>
          <w:p w:rsidR="00155C39" w:rsidRPr="00155C39" w:rsidRDefault="00155C39" w:rsidP="00155C39">
            <w:pPr>
              <w:ind w:left="720"/>
            </w:pPr>
          </w:p>
          <w:p w:rsidR="00155C39" w:rsidRPr="00155C39" w:rsidRDefault="00155C39" w:rsidP="00155C39">
            <w:pPr>
              <w:ind w:left="720"/>
            </w:pPr>
            <w:r w:rsidRPr="00155C39">
              <w:t>3.  Delegate authority to the Corporate Director of Community to take all appropriate decisions and actions to dispose of</w:t>
            </w:r>
            <w:r>
              <w:t>, including at less than market value or nil consideration,</w:t>
            </w:r>
            <w:r w:rsidRPr="00155C39">
              <w:t xml:space="preserve"> the sites to approved Community Led Housing groups, </w:t>
            </w:r>
            <w:r w:rsidR="00554872">
              <w:t>following</w:t>
            </w:r>
            <w:r w:rsidR="00554872" w:rsidRPr="00155C39">
              <w:t xml:space="preserve"> </w:t>
            </w:r>
            <w:r w:rsidRPr="00155C39">
              <w:t>consultation with the Portfolio Holder for Housing (subject to planning approval and appropriate finance</w:t>
            </w:r>
            <w:r>
              <w:t xml:space="preserve"> and legal</w:t>
            </w:r>
            <w:r w:rsidRPr="00155C39">
              <w:t xml:space="preserve"> arrangements being in place).</w:t>
            </w:r>
          </w:p>
          <w:p w:rsidR="00155C39" w:rsidRPr="00155C39" w:rsidRDefault="00155C39" w:rsidP="00155C39">
            <w:pPr>
              <w:ind w:left="720"/>
            </w:pPr>
          </w:p>
          <w:p w:rsidR="000B60F3" w:rsidRPr="00484942" w:rsidRDefault="00155C39" w:rsidP="000B60F3">
            <w:pPr>
              <w:numPr>
                <w:ilvl w:val="0"/>
                <w:numId w:val="31"/>
              </w:numPr>
            </w:pPr>
            <w:r w:rsidRPr="00155C39">
              <w:t>Authorise the Corporate Director of Community</w:t>
            </w:r>
            <w:r w:rsidR="00554872">
              <w:t>,</w:t>
            </w:r>
            <w:r w:rsidRPr="00155C39">
              <w:t xml:space="preserve"> following consultation with the Portfolio Holder of Housing and ward councillors</w:t>
            </w:r>
            <w:r w:rsidR="00554872">
              <w:t xml:space="preserve">, </w:t>
            </w:r>
            <w:r w:rsidRPr="00155C39">
              <w:t>to identify further suitable HRA sites for disposal via this method if the sites identified in this report are found to be unsuitable.</w:t>
            </w:r>
          </w:p>
          <w:p w:rsidR="000B60F3" w:rsidRDefault="000B60F3" w:rsidP="005B164A"/>
          <w:p w:rsidR="005B164A" w:rsidRDefault="005B164A" w:rsidP="001C7E35"/>
          <w:p w:rsidR="005B164A" w:rsidRDefault="001C7E35" w:rsidP="0054590F">
            <w:pPr>
              <w:pStyle w:val="Heading2"/>
              <w:rPr>
                <w:color w:val="FF0000"/>
              </w:rPr>
            </w:pPr>
            <w:r>
              <w:t>Reason:  (For recommendation</w:t>
            </w:r>
            <w:r w:rsidR="00714BEE">
              <w:t>s</w:t>
            </w:r>
            <w:r>
              <w:t>)</w:t>
            </w:r>
            <w:r w:rsidR="00F91AE4">
              <w:t xml:space="preserve"> </w:t>
            </w:r>
            <w:r>
              <w:rPr>
                <w:color w:val="FF0000"/>
              </w:rPr>
              <w:t xml:space="preserve"> </w:t>
            </w:r>
          </w:p>
          <w:p w:rsidR="006B1FBB" w:rsidRDefault="006B1FBB" w:rsidP="00136983"/>
          <w:p w:rsidR="00333FAA" w:rsidRDefault="0018290E" w:rsidP="00136983">
            <w:pPr>
              <w:rPr>
                <w:rFonts w:cs="Arial"/>
                <w:bCs/>
                <w:sz w:val="28"/>
                <w:szCs w:val="32"/>
              </w:rPr>
            </w:pPr>
            <w:r w:rsidRPr="00AA35D1">
              <w:t xml:space="preserve">To </w:t>
            </w:r>
            <w:r w:rsidR="003432B6" w:rsidRPr="00AA35D1">
              <w:t>enable local community groups to meet their own housing needs</w:t>
            </w:r>
            <w:r w:rsidR="006B1FBB">
              <w:t xml:space="preserve"> and to support the </w:t>
            </w:r>
            <w:r w:rsidR="00946EA3">
              <w:t xml:space="preserve">GLA’s </w:t>
            </w:r>
            <w:r w:rsidR="006B1FBB">
              <w:t>Community Led Housing agenda</w:t>
            </w:r>
            <w:r w:rsidR="00582EDA" w:rsidRPr="00AA35D1">
              <w:t>.</w:t>
            </w:r>
            <w:r w:rsidR="003432B6" w:rsidRPr="00AA35D1">
              <w:rPr>
                <w:rFonts w:cs="Arial"/>
                <w:bCs/>
                <w:sz w:val="28"/>
                <w:szCs w:val="32"/>
              </w:rPr>
              <w:t xml:space="preserve"> </w:t>
            </w:r>
          </w:p>
          <w:p w:rsidR="00AA35D1" w:rsidRPr="00AA35D1" w:rsidRDefault="00AA35D1" w:rsidP="00136983">
            <w:pPr>
              <w:rPr>
                <w:rFonts w:cs="Arial"/>
              </w:rPr>
            </w:pPr>
          </w:p>
        </w:tc>
      </w:tr>
    </w:tbl>
    <w:p w:rsidR="00333FAA" w:rsidRDefault="00333FAA" w:rsidP="00333FAA">
      <w:pPr>
        <w:pStyle w:val="Heading1"/>
        <w:rPr>
          <w:rFonts w:ascii="Arial" w:hAnsi="Arial"/>
          <w:sz w:val="24"/>
          <w:szCs w:val="24"/>
        </w:rPr>
      </w:pPr>
    </w:p>
    <w:p w:rsidR="0057152E" w:rsidRDefault="0057152E" w:rsidP="00B132C7">
      <w:pPr>
        <w:pStyle w:val="Heading1"/>
      </w:pPr>
    </w:p>
    <w:p w:rsidR="0057152E" w:rsidRDefault="0057152E" w:rsidP="00B132C7">
      <w:pPr>
        <w:pStyle w:val="Heading1"/>
      </w:pPr>
    </w:p>
    <w:p w:rsidR="0057152E" w:rsidRDefault="0057152E" w:rsidP="00B132C7">
      <w:pPr>
        <w:pStyle w:val="Heading1"/>
      </w:pPr>
    </w:p>
    <w:p w:rsidR="00484942" w:rsidRDefault="00484942" w:rsidP="00484942"/>
    <w:p w:rsidR="00484942" w:rsidRDefault="00484942" w:rsidP="00484942"/>
    <w:p w:rsidR="00484942" w:rsidRDefault="00484942" w:rsidP="00484942"/>
    <w:p w:rsidR="00484942" w:rsidRDefault="00484942" w:rsidP="00484942"/>
    <w:p w:rsidR="00484942" w:rsidRDefault="00484942" w:rsidP="00484942"/>
    <w:p w:rsidR="00484942" w:rsidRPr="00484942" w:rsidRDefault="00484942" w:rsidP="00484942"/>
    <w:p w:rsidR="001C7E35" w:rsidRPr="00B132C7" w:rsidRDefault="00333FAA" w:rsidP="00B132C7">
      <w:pPr>
        <w:pStyle w:val="Heading1"/>
      </w:pPr>
      <w:r>
        <w:lastRenderedPageBreak/>
        <w:t>Section 2 – Report</w:t>
      </w:r>
    </w:p>
    <w:p w:rsidR="00333FAA" w:rsidRDefault="00333FAA" w:rsidP="00333FAA">
      <w:pPr>
        <w:pStyle w:val="Heading2"/>
      </w:pPr>
    </w:p>
    <w:p w:rsidR="001C7E35" w:rsidRDefault="001C7E35" w:rsidP="001C7E35">
      <w:pPr>
        <w:pStyle w:val="Heading2"/>
      </w:pPr>
      <w:r>
        <w:t>Introductory paragraph</w:t>
      </w:r>
    </w:p>
    <w:p w:rsidR="006B1FBB" w:rsidRPr="006B1FBB" w:rsidRDefault="006B1FBB" w:rsidP="006B1FBB"/>
    <w:p w:rsidR="00752617" w:rsidRPr="00CB7B3F" w:rsidRDefault="00F73E84" w:rsidP="00F73E84">
      <w:pPr>
        <w:pStyle w:val="ListParagraph"/>
        <w:spacing w:after="200" w:line="276" w:lineRule="auto"/>
        <w:ind w:hanging="720"/>
        <w:rPr>
          <w:rFonts w:eastAsia="Calibri" w:cs="Arial"/>
          <w:szCs w:val="24"/>
        </w:rPr>
      </w:pPr>
      <w:r>
        <w:rPr>
          <w:rFonts w:eastAsia="Calibri" w:cs="Arial"/>
          <w:szCs w:val="24"/>
        </w:rPr>
        <w:t>1.</w:t>
      </w:r>
      <w:r w:rsidR="006B1FBB">
        <w:rPr>
          <w:rFonts w:eastAsia="Calibri" w:cs="Arial"/>
          <w:szCs w:val="24"/>
        </w:rPr>
        <w:t>1</w:t>
      </w:r>
      <w:r>
        <w:rPr>
          <w:rFonts w:eastAsia="Calibri" w:cs="Arial"/>
          <w:szCs w:val="24"/>
        </w:rPr>
        <w:t xml:space="preserve">  </w:t>
      </w:r>
      <w:r>
        <w:rPr>
          <w:rFonts w:eastAsia="Calibri" w:cs="Arial"/>
          <w:szCs w:val="24"/>
        </w:rPr>
        <w:tab/>
      </w:r>
      <w:r w:rsidR="00752617" w:rsidRPr="00A46055">
        <w:rPr>
          <w:rFonts w:eastAsia="Calibri" w:cs="Arial"/>
          <w:szCs w:val="24"/>
        </w:rPr>
        <w:t xml:space="preserve">These </w:t>
      </w:r>
      <w:r w:rsidR="006B1FBB">
        <w:rPr>
          <w:rFonts w:eastAsia="Calibri" w:cs="Arial"/>
          <w:szCs w:val="24"/>
        </w:rPr>
        <w:t>d</w:t>
      </w:r>
      <w:r w:rsidR="00752617" w:rsidRPr="00A46055">
        <w:rPr>
          <w:rFonts w:eastAsia="Calibri" w:cs="Arial"/>
          <w:szCs w:val="24"/>
        </w:rPr>
        <w:t xml:space="preserve">isposals will help the Council to meet its corporate priority of Building a Better Harrow by increasing the supply of quality housing for Harrow residents by enabling the local community to meet its own housing </w:t>
      </w:r>
      <w:r w:rsidR="00752617" w:rsidRPr="00CB7B3F">
        <w:rPr>
          <w:rFonts w:eastAsia="Calibri" w:cs="Arial"/>
          <w:szCs w:val="24"/>
        </w:rPr>
        <w:t>needs.</w:t>
      </w:r>
    </w:p>
    <w:p w:rsidR="00A46055" w:rsidRDefault="00A46055" w:rsidP="00F73E84">
      <w:pPr>
        <w:pStyle w:val="ListParagraph"/>
        <w:spacing w:after="200" w:line="276" w:lineRule="auto"/>
        <w:ind w:hanging="720"/>
        <w:rPr>
          <w:rFonts w:eastAsia="Calibri" w:cs="Arial"/>
          <w:szCs w:val="24"/>
        </w:rPr>
      </w:pPr>
      <w:r>
        <w:rPr>
          <w:rFonts w:eastAsia="Calibri" w:cs="Arial"/>
          <w:szCs w:val="24"/>
        </w:rPr>
        <w:t>1.</w:t>
      </w:r>
      <w:r w:rsidR="006B1FBB">
        <w:rPr>
          <w:rFonts w:eastAsia="Calibri" w:cs="Arial"/>
          <w:szCs w:val="24"/>
        </w:rPr>
        <w:t>2</w:t>
      </w:r>
      <w:r>
        <w:rPr>
          <w:rFonts w:eastAsia="Calibri" w:cs="Arial"/>
          <w:szCs w:val="24"/>
        </w:rPr>
        <w:t xml:space="preserve"> </w:t>
      </w:r>
      <w:r w:rsidR="00F73E84">
        <w:rPr>
          <w:rFonts w:eastAsia="Calibri" w:cs="Arial"/>
          <w:szCs w:val="24"/>
        </w:rPr>
        <w:tab/>
      </w:r>
      <w:r w:rsidR="00F73E84" w:rsidRPr="006B1FBB">
        <w:rPr>
          <w:rFonts w:eastAsia="Calibri" w:cs="Arial"/>
          <w:szCs w:val="24"/>
        </w:rPr>
        <w:t>T</w:t>
      </w:r>
      <w:r w:rsidRPr="006B1FBB">
        <w:rPr>
          <w:rFonts w:eastAsia="Calibri" w:cs="Arial"/>
          <w:szCs w:val="24"/>
        </w:rPr>
        <w:t>his</w:t>
      </w:r>
      <w:r>
        <w:rPr>
          <w:rFonts w:eastAsia="Calibri" w:cs="Arial"/>
          <w:szCs w:val="24"/>
        </w:rPr>
        <w:t xml:space="preserve"> report is o</w:t>
      </w:r>
      <w:r w:rsidRPr="00A46055">
        <w:rPr>
          <w:rFonts w:eastAsia="Calibri" w:cs="Arial"/>
          <w:szCs w:val="24"/>
        </w:rPr>
        <w:t>nly</w:t>
      </w:r>
      <w:r w:rsidR="00D75B11">
        <w:rPr>
          <w:rFonts w:eastAsia="Calibri" w:cs="Arial"/>
          <w:szCs w:val="24"/>
        </w:rPr>
        <w:t xml:space="preserve"> </w:t>
      </w:r>
      <w:r>
        <w:rPr>
          <w:rFonts w:eastAsia="Calibri" w:cs="Arial"/>
          <w:szCs w:val="24"/>
        </w:rPr>
        <w:t xml:space="preserve">seeking </w:t>
      </w:r>
      <w:r w:rsidRPr="00A46055">
        <w:rPr>
          <w:rFonts w:eastAsia="Calibri" w:cs="Arial"/>
          <w:szCs w:val="24"/>
        </w:rPr>
        <w:t xml:space="preserve">an ‘in principal’ decision to </w:t>
      </w:r>
      <w:r w:rsidR="006B1FBB">
        <w:rPr>
          <w:rFonts w:eastAsia="Calibri" w:cs="Arial"/>
          <w:szCs w:val="24"/>
        </w:rPr>
        <w:t>d</w:t>
      </w:r>
      <w:r w:rsidRPr="00A46055">
        <w:rPr>
          <w:rFonts w:eastAsia="Calibri" w:cs="Arial"/>
          <w:szCs w:val="24"/>
        </w:rPr>
        <w:t>ispose</w:t>
      </w:r>
      <w:r w:rsidR="00154BBD">
        <w:rPr>
          <w:rFonts w:eastAsia="Calibri" w:cs="Arial"/>
          <w:szCs w:val="24"/>
        </w:rPr>
        <w:t xml:space="preserve"> of the sites</w:t>
      </w:r>
      <w:r w:rsidRPr="00A46055">
        <w:rPr>
          <w:rFonts w:eastAsia="Calibri" w:cs="Arial"/>
          <w:szCs w:val="24"/>
        </w:rPr>
        <w:t xml:space="preserve"> </w:t>
      </w:r>
      <w:r w:rsidR="00154BBD">
        <w:rPr>
          <w:rFonts w:eastAsia="Calibri" w:cs="Arial"/>
          <w:szCs w:val="24"/>
        </w:rPr>
        <w:t xml:space="preserve">for Community Led Housing </w:t>
      </w:r>
      <w:r w:rsidRPr="00A46055">
        <w:rPr>
          <w:rFonts w:eastAsia="Calibri" w:cs="Arial"/>
          <w:szCs w:val="24"/>
        </w:rPr>
        <w:t xml:space="preserve">at this stage, with delegated authority to negotiate the details of </w:t>
      </w:r>
      <w:r w:rsidR="006B1FBB">
        <w:rPr>
          <w:rFonts w:eastAsia="Calibri" w:cs="Arial"/>
          <w:szCs w:val="24"/>
        </w:rPr>
        <w:t>d</w:t>
      </w:r>
      <w:r w:rsidRPr="00A46055">
        <w:rPr>
          <w:rFonts w:eastAsia="Calibri" w:cs="Arial"/>
          <w:szCs w:val="24"/>
        </w:rPr>
        <w:t>isposal</w:t>
      </w:r>
      <w:r w:rsidR="00B743EE">
        <w:rPr>
          <w:rFonts w:eastAsia="Calibri" w:cs="Arial"/>
          <w:szCs w:val="24"/>
        </w:rPr>
        <w:t>. N</w:t>
      </w:r>
      <w:r w:rsidR="002A36F3" w:rsidRPr="00BC0D46">
        <w:rPr>
          <w:rFonts w:eastAsia="Calibri" w:cs="Arial"/>
          <w:szCs w:val="24"/>
        </w:rPr>
        <w:t xml:space="preserve">o actual </w:t>
      </w:r>
      <w:r w:rsidR="002A36F3">
        <w:rPr>
          <w:rFonts w:eastAsia="Calibri" w:cs="Arial"/>
          <w:szCs w:val="24"/>
        </w:rPr>
        <w:t>d</w:t>
      </w:r>
      <w:r w:rsidR="002A36F3" w:rsidRPr="00BC0D46">
        <w:rPr>
          <w:rFonts w:eastAsia="Calibri" w:cs="Arial"/>
          <w:szCs w:val="24"/>
        </w:rPr>
        <w:t xml:space="preserve">isposal of land would take place until </w:t>
      </w:r>
      <w:r w:rsidR="002A36F3">
        <w:rPr>
          <w:rFonts w:eastAsia="Calibri" w:cs="Arial"/>
          <w:szCs w:val="24"/>
        </w:rPr>
        <w:t xml:space="preserve">the council has given approval to the Community Led housing group project i.e. the council is satisfied that </w:t>
      </w:r>
      <w:r w:rsidR="002A36F3" w:rsidRPr="00BC0D46">
        <w:rPr>
          <w:rFonts w:eastAsia="Calibri" w:cs="Arial"/>
          <w:szCs w:val="24"/>
        </w:rPr>
        <w:t xml:space="preserve">planning permission is </w:t>
      </w:r>
      <w:r w:rsidR="002A36F3">
        <w:rPr>
          <w:rFonts w:eastAsia="Calibri" w:cs="Arial"/>
          <w:szCs w:val="24"/>
        </w:rPr>
        <w:t>secured,</w:t>
      </w:r>
      <w:r w:rsidR="00B743EE">
        <w:rPr>
          <w:rFonts w:eastAsia="Calibri" w:cs="Arial"/>
          <w:szCs w:val="24"/>
        </w:rPr>
        <w:t xml:space="preserve"> </w:t>
      </w:r>
      <w:r w:rsidR="002A36F3">
        <w:rPr>
          <w:rFonts w:eastAsia="Calibri" w:cs="Arial"/>
          <w:szCs w:val="24"/>
        </w:rPr>
        <w:t>appropriate</w:t>
      </w:r>
      <w:r w:rsidR="00B743EE">
        <w:rPr>
          <w:rFonts w:eastAsia="Calibri" w:cs="Arial"/>
          <w:szCs w:val="24"/>
        </w:rPr>
        <w:t xml:space="preserve"> legal, </w:t>
      </w:r>
      <w:r w:rsidR="002A36F3" w:rsidRPr="00BC0D46">
        <w:rPr>
          <w:rFonts w:eastAsia="Calibri" w:cs="Arial"/>
          <w:szCs w:val="24"/>
        </w:rPr>
        <w:t xml:space="preserve">financial </w:t>
      </w:r>
      <w:r w:rsidR="002A36F3">
        <w:rPr>
          <w:rFonts w:eastAsia="Calibri" w:cs="Arial"/>
          <w:szCs w:val="24"/>
        </w:rPr>
        <w:t>and governance arrangements</w:t>
      </w:r>
      <w:r w:rsidR="002A36F3" w:rsidRPr="00BC0D46">
        <w:rPr>
          <w:rFonts w:eastAsia="Calibri" w:cs="Arial"/>
          <w:szCs w:val="24"/>
        </w:rPr>
        <w:t xml:space="preserve"> are in place</w:t>
      </w:r>
      <w:r w:rsidR="002A36F3">
        <w:rPr>
          <w:rFonts w:eastAsia="Calibri" w:cs="Arial"/>
          <w:szCs w:val="24"/>
        </w:rPr>
        <w:t xml:space="preserve"> and satisfactory community consultation has been carried out </w:t>
      </w:r>
      <w:r w:rsidR="002A36F3" w:rsidRPr="00BC0D46">
        <w:rPr>
          <w:rFonts w:eastAsia="Calibri" w:cs="Arial"/>
          <w:szCs w:val="24"/>
        </w:rPr>
        <w:t xml:space="preserve">. </w:t>
      </w:r>
      <w:r w:rsidR="002A36F3">
        <w:rPr>
          <w:rFonts w:eastAsia="Calibri" w:cs="Arial"/>
          <w:szCs w:val="24"/>
        </w:rPr>
        <w:t xml:space="preserve"> </w:t>
      </w:r>
    </w:p>
    <w:p w:rsidR="006B1FBB" w:rsidRDefault="006B1FBB" w:rsidP="00F73E84">
      <w:pPr>
        <w:pStyle w:val="ListParagraph"/>
        <w:spacing w:after="200" w:line="276" w:lineRule="auto"/>
        <w:ind w:hanging="720"/>
        <w:rPr>
          <w:rFonts w:eastAsia="Calibri" w:cs="Arial"/>
          <w:szCs w:val="24"/>
        </w:rPr>
      </w:pPr>
      <w:r>
        <w:rPr>
          <w:rFonts w:eastAsia="Calibri" w:cs="Arial"/>
          <w:szCs w:val="24"/>
        </w:rPr>
        <w:t xml:space="preserve">1.3    </w:t>
      </w:r>
      <w:r>
        <w:rPr>
          <w:rFonts w:eastAsia="Calibri" w:cs="Arial"/>
          <w:szCs w:val="24"/>
        </w:rPr>
        <w:tab/>
        <w:t xml:space="preserve">This report is being presented to Cabinet in March </w:t>
      </w:r>
      <w:r w:rsidR="00946EA3">
        <w:rPr>
          <w:rFonts w:eastAsia="Calibri" w:cs="Arial"/>
          <w:szCs w:val="24"/>
        </w:rPr>
        <w:t xml:space="preserve">because in principle approval to disposal of these sites for Community Led Housing projects </w:t>
      </w:r>
      <w:r w:rsidR="00082B60">
        <w:rPr>
          <w:rFonts w:eastAsia="Calibri" w:cs="Arial"/>
          <w:szCs w:val="24"/>
        </w:rPr>
        <w:t xml:space="preserve">will support funding applications to the </w:t>
      </w:r>
      <w:r w:rsidR="00154BBD">
        <w:rPr>
          <w:rFonts w:eastAsia="Calibri" w:cs="Arial"/>
          <w:szCs w:val="24"/>
        </w:rPr>
        <w:t>GLA</w:t>
      </w:r>
      <w:r w:rsidR="00082B60">
        <w:rPr>
          <w:rFonts w:eastAsia="Calibri" w:cs="Arial"/>
          <w:szCs w:val="24"/>
        </w:rPr>
        <w:t>’s Community Housing Fund to</w:t>
      </w:r>
      <w:r w:rsidR="00946EA3">
        <w:rPr>
          <w:rFonts w:eastAsia="Calibri" w:cs="Arial"/>
          <w:szCs w:val="24"/>
        </w:rPr>
        <w:t xml:space="preserve"> enable projects to be</w:t>
      </w:r>
      <w:r>
        <w:rPr>
          <w:rFonts w:eastAsia="Calibri" w:cs="Arial"/>
          <w:szCs w:val="24"/>
        </w:rPr>
        <w:t xml:space="preserve"> progressed</w:t>
      </w:r>
      <w:r w:rsidR="005F02AD">
        <w:rPr>
          <w:rFonts w:eastAsia="Calibri" w:cs="Arial"/>
          <w:szCs w:val="24"/>
        </w:rPr>
        <w:t>.</w:t>
      </w:r>
    </w:p>
    <w:p w:rsidR="00752617" w:rsidRDefault="00752617" w:rsidP="00752617">
      <w:pPr>
        <w:pStyle w:val="Heading2"/>
        <w:rPr>
          <w:color w:val="FF0000"/>
        </w:rPr>
      </w:pPr>
      <w:r>
        <w:t>Options considered</w:t>
      </w:r>
      <w:r>
        <w:rPr>
          <w:color w:val="FF0000"/>
        </w:rPr>
        <w:t xml:space="preserve"> </w:t>
      </w:r>
    </w:p>
    <w:p w:rsidR="00484942" w:rsidRPr="00484942" w:rsidRDefault="00484942" w:rsidP="00484942"/>
    <w:p w:rsidR="00752617" w:rsidRPr="00752617" w:rsidRDefault="00752617" w:rsidP="00752617">
      <w:pPr>
        <w:spacing w:after="200" w:line="276" w:lineRule="auto"/>
        <w:ind w:left="720"/>
        <w:rPr>
          <w:rFonts w:eastAsia="Calibri" w:cs="Arial"/>
          <w:szCs w:val="24"/>
        </w:rPr>
      </w:pPr>
      <w:r w:rsidRPr="000B60F3">
        <w:rPr>
          <w:rFonts w:eastAsia="Calibri" w:cs="Arial"/>
          <w:b/>
          <w:szCs w:val="24"/>
        </w:rPr>
        <w:t>Option 1</w:t>
      </w:r>
      <w:r w:rsidRPr="00752617">
        <w:rPr>
          <w:rFonts w:eastAsia="Calibri" w:cs="Arial"/>
          <w:szCs w:val="24"/>
        </w:rPr>
        <w:t xml:space="preserve">.  Do not </w:t>
      </w:r>
      <w:r w:rsidR="00AA35D1" w:rsidRPr="00752617">
        <w:rPr>
          <w:rFonts w:eastAsia="Calibri" w:cs="Arial"/>
          <w:szCs w:val="24"/>
        </w:rPr>
        <w:t>dispose</w:t>
      </w:r>
      <w:r w:rsidRPr="00752617">
        <w:rPr>
          <w:rFonts w:eastAsia="Calibri" w:cs="Arial"/>
          <w:szCs w:val="24"/>
        </w:rPr>
        <w:t xml:space="preserve"> of these sites and retain for in-house development.  This option is rejected as these small sites are uneconomical/not appropriate for in-house de</w:t>
      </w:r>
      <w:r w:rsidR="00946EA3">
        <w:rPr>
          <w:rFonts w:eastAsia="Calibri" w:cs="Arial"/>
          <w:szCs w:val="24"/>
        </w:rPr>
        <w:t>velopment</w:t>
      </w:r>
      <w:r w:rsidR="00E061CE">
        <w:rPr>
          <w:rFonts w:eastAsia="Calibri" w:cs="Arial"/>
          <w:szCs w:val="24"/>
        </w:rPr>
        <w:t>,</w:t>
      </w:r>
      <w:r w:rsidRPr="00752617">
        <w:rPr>
          <w:rFonts w:eastAsia="Calibri" w:cs="Arial"/>
          <w:szCs w:val="24"/>
        </w:rPr>
        <w:t xml:space="preserve"> due to cost of </w:t>
      </w:r>
      <w:r w:rsidR="00A65F67">
        <w:rPr>
          <w:rFonts w:eastAsia="Calibri" w:cs="Arial"/>
          <w:szCs w:val="24"/>
        </w:rPr>
        <w:t xml:space="preserve">redevelopment and </w:t>
      </w:r>
      <w:r w:rsidRPr="00752617">
        <w:rPr>
          <w:rFonts w:eastAsia="Calibri" w:cs="Arial"/>
          <w:szCs w:val="24"/>
        </w:rPr>
        <w:t>officer time in project management for individual sites. We have limited resources to work on these smaller sites and therefore these sites are unlikely to be developed for housing by the council.</w:t>
      </w:r>
    </w:p>
    <w:p w:rsidR="00752617" w:rsidRDefault="00752617" w:rsidP="00D60BD5">
      <w:pPr>
        <w:spacing w:after="200" w:line="276" w:lineRule="auto"/>
        <w:ind w:left="720"/>
        <w:rPr>
          <w:rFonts w:eastAsia="Calibri" w:cs="Arial"/>
          <w:szCs w:val="24"/>
        </w:rPr>
      </w:pPr>
      <w:r w:rsidRPr="000B60F3">
        <w:rPr>
          <w:rFonts w:eastAsia="Calibri" w:cs="Arial"/>
          <w:b/>
          <w:szCs w:val="24"/>
        </w:rPr>
        <w:t>Option 2</w:t>
      </w:r>
      <w:r w:rsidRPr="00752617">
        <w:rPr>
          <w:rFonts w:eastAsia="Calibri" w:cs="Arial"/>
          <w:szCs w:val="24"/>
        </w:rPr>
        <w:t xml:space="preserve">.  Do not </w:t>
      </w:r>
      <w:r w:rsidR="00946EA3">
        <w:rPr>
          <w:rFonts w:eastAsia="Calibri" w:cs="Arial"/>
          <w:szCs w:val="24"/>
        </w:rPr>
        <w:t>d</w:t>
      </w:r>
      <w:r w:rsidR="00AA35D1" w:rsidRPr="00752617">
        <w:rPr>
          <w:rFonts w:eastAsia="Calibri" w:cs="Arial"/>
          <w:szCs w:val="24"/>
        </w:rPr>
        <w:t>ispose</w:t>
      </w:r>
      <w:r w:rsidRPr="00752617">
        <w:rPr>
          <w:rFonts w:eastAsia="Calibri" w:cs="Arial"/>
          <w:szCs w:val="24"/>
        </w:rPr>
        <w:t xml:space="preserve"> of these sites and clear the sites for an alternative use.  This option is rejected as we have limited resources to clear the sites (including demolition in the case of garages) and reconfigure for an alternative use which is most likely to be for amenity land or parking.  </w:t>
      </w:r>
    </w:p>
    <w:p w:rsidR="00752617" w:rsidRPr="00752617" w:rsidRDefault="00752617" w:rsidP="00752617">
      <w:pPr>
        <w:spacing w:after="200" w:line="276" w:lineRule="auto"/>
        <w:ind w:left="720"/>
        <w:rPr>
          <w:rFonts w:eastAsia="Calibri" w:cs="Arial"/>
          <w:szCs w:val="24"/>
        </w:rPr>
      </w:pPr>
      <w:r w:rsidRPr="000B60F3">
        <w:rPr>
          <w:rFonts w:eastAsia="Calibri" w:cs="Arial"/>
          <w:b/>
          <w:szCs w:val="24"/>
        </w:rPr>
        <w:t>Option 3</w:t>
      </w:r>
      <w:r w:rsidRPr="00752617">
        <w:rPr>
          <w:rFonts w:eastAsia="Calibri" w:cs="Arial"/>
          <w:szCs w:val="24"/>
        </w:rPr>
        <w:t xml:space="preserve">.  Dispose of the sites directly on the open market. This is rejected as sale at auction gives limited control over the quality and type of development, does not enable community groups to meet their own housing need and does not support </w:t>
      </w:r>
      <w:r w:rsidR="00A86457">
        <w:rPr>
          <w:rFonts w:eastAsia="Calibri" w:cs="Arial"/>
          <w:szCs w:val="24"/>
        </w:rPr>
        <w:t xml:space="preserve">the council’s aspiration to encourage Community Led Housing </w:t>
      </w:r>
      <w:r w:rsidR="00F9711A">
        <w:rPr>
          <w:rFonts w:eastAsia="Calibri" w:cs="Arial"/>
          <w:szCs w:val="24"/>
        </w:rPr>
        <w:t>initiatives</w:t>
      </w:r>
      <w:r w:rsidR="00A86457">
        <w:rPr>
          <w:rFonts w:eastAsia="Calibri" w:cs="Arial"/>
          <w:szCs w:val="24"/>
        </w:rPr>
        <w:t>.</w:t>
      </w:r>
    </w:p>
    <w:p w:rsidR="00752617" w:rsidRPr="00752617" w:rsidRDefault="00752617" w:rsidP="00752617">
      <w:pPr>
        <w:spacing w:after="200" w:line="276" w:lineRule="auto"/>
        <w:ind w:left="720"/>
        <w:rPr>
          <w:rFonts w:eastAsia="Calibri" w:cs="Arial"/>
          <w:szCs w:val="24"/>
        </w:rPr>
      </w:pPr>
      <w:r w:rsidRPr="00B743EE">
        <w:rPr>
          <w:rFonts w:eastAsia="Calibri" w:cs="Arial"/>
          <w:b/>
          <w:szCs w:val="24"/>
        </w:rPr>
        <w:t>Option 4</w:t>
      </w:r>
      <w:r w:rsidRPr="00752617">
        <w:rPr>
          <w:rFonts w:eastAsia="Calibri" w:cs="Arial"/>
          <w:szCs w:val="24"/>
        </w:rPr>
        <w:t>.  Dispose of the sites to Community Led Housing groups.  This is the preferred option in order to provide the community with an opportunity to meet its own housing needs (a GLA objective evidenced in their</w:t>
      </w:r>
      <w:r w:rsidR="00082B60">
        <w:rPr>
          <w:rFonts w:eastAsia="Calibri" w:cs="Arial"/>
          <w:szCs w:val="24"/>
        </w:rPr>
        <w:t xml:space="preserve"> Housing Strategy and</w:t>
      </w:r>
      <w:r w:rsidRPr="00752617">
        <w:rPr>
          <w:rFonts w:eastAsia="Calibri" w:cs="Arial"/>
          <w:szCs w:val="24"/>
        </w:rPr>
        <w:t xml:space="preserve"> respective funding programmes), whilst being aided and supported by the Council and other strategic partners to enable their development goals to be delivered. The Council’s Housing Strategy (2019-24) supports Community Led Housing.  </w:t>
      </w:r>
    </w:p>
    <w:p w:rsidR="00E96527" w:rsidRDefault="00E96527" w:rsidP="00333FAA"/>
    <w:p w:rsidR="0057152E" w:rsidRDefault="0057152E" w:rsidP="00E07D21">
      <w:pPr>
        <w:pStyle w:val="Heading2"/>
      </w:pPr>
    </w:p>
    <w:p w:rsidR="00C46089" w:rsidRDefault="00C46089" w:rsidP="0057152E">
      <w:pPr>
        <w:pStyle w:val="Heading2"/>
      </w:pPr>
      <w:r>
        <w:t xml:space="preserve">Background </w:t>
      </w:r>
    </w:p>
    <w:p w:rsidR="00484942" w:rsidRPr="00484942" w:rsidRDefault="00484942" w:rsidP="00484942"/>
    <w:p w:rsidR="00A86457" w:rsidRPr="00A86457" w:rsidRDefault="00F1222D" w:rsidP="0057152E">
      <w:pPr>
        <w:spacing w:after="200" w:line="276" w:lineRule="auto"/>
        <w:ind w:left="720" w:hanging="720"/>
        <w:rPr>
          <w:rFonts w:eastAsia="Calibri" w:cs="Arial"/>
          <w:szCs w:val="24"/>
        </w:rPr>
      </w:pPr>
      <w:r>
        <w:rPr>
          <w:rFonts w:eastAsia="Calibri" w:cs="Arial"/>
          <w:szCs w:val="24"/>
        </w:rPr>
        <w:t>2.1</w:t>
      </w:r>
      <w:r w:rsidR="00521651">
        <w:rPr>
          <w:rFonts w:eastAsia="Calibri" w:cs="Arial"/>
          <w:szCs w:val="24"/>
        </w:rPr>
        <w:t>.1</w:t>
      </w:r>
      <w:r>
        <w:rPr>
          <w:rFonts w:eastAsia="Calibri" w:cs="Arial"/>
          <w:szCs w:val="24"/>
        </w:rPr>
        <w:tab/>
      </w:r>
      <w:r w:rsidR="00CB7B3F" w:rsidRPr="00B72648">
        <w:rPr>
          <w:rFonts w:eastAsia="Calibri" w:cs="Arial"/>
          <w:szCs w:val="24"/>
        </w:rPr>
        <w:t xml:space="preserve">  </w:t>
      </w:r>
      <w:r w:rsidR="00F960CB">
        <w:rPr>
          <w:rFonts w:eastAsia="Calibri" w:cs="Arial"/>
          <w:szCs w:val="24"/>
        </w:rPr>
        <w:t xml:space="preserve">The development opportunities within the HRA estate are regularly reviewed to identify sites for council house building. The sites include  </w:t>
      </w:r>
      <w:r w:rsidR="00F960CB" w:rsidRPr="00F960CB">
        <w:rPr>
          <w:rFonts w:eastAsia="Calibri" w:cs="Arial"/>
          <w:szCs w:val="24"/>
        </w:rPr>
        <w:t>vacant land and garage sites</w:t>
      </w:r>
      <w:r w:rsidR="00F960CB">
        <w:rPr>
          <w:rFonts w:eastAsia="Calibri" w:cs="Arial"/>
          <w:szCs w:val="24"/>
        </w:rPr>
        <w:t xml:space="preserve">. </w:t>
      </w:r>
      <w:r w:rsidR="00F960CB" w:rsidRPr="00F960CB">
        <w:rPr>
          <w:rFonts w:eastAsia="Calibri" w:cs="Arial"/>
          <w:szCs w:val="24"/>
        </w:rPr>
        <w:t xml:space="preserve"> </w:t>
      </w:r>
      <w:r w:rsidR="00F960CB">
        <w:rPr>
          <w:rFonts w:eastAsia="Calibri" w:cs="Arial"/>
          <w:szCs w:val="24"/>
        </w:rPr>
        <w:t xml:space="preserve">At the present time  </w:t>
      </w:r>
      <w:r w:rsidR="001B08BE">
        <w:rPr>
          <w:rFonts w:eastAsia="Calibri" w:cs="Arial"/>
          <w:szCs w:val="24"/>
        </w:rPr>
        <w:t xml:space="preserve">78 </w:t>
      </w:r>
      <w:r w:rsidR="00F960CB">
        <w:rPr>
          <w:rFonts w:eastAsia="Calibri" w:cs="Arial"/>
          <w:szCs w:val="24"/>
        </w:rPr>
        <w:t xml:space="preserve">sites have been </w:t>
      </w:r>
      <w:r w:rsidR="001B08BE">
        <w:rPr>
          <w:rFonts w:eastAsia="Calibri" w:cs="Arial"/>
          <w:szCs w:val="24"/>
        </w:rPr>
        <w:t xml:space="preserve">reviewed of which 33 are considered to have some </w:t>
      </w:r>
      <w:r w:rsidR="00F960CB">
        <w:rPr>
          <w:rFonts w:eastAsia="Calibri" w:cs="Arial"/>
          <w:szCs w:val="24"/>
        </w:rPr>
        <w:t xml:space="preserve">development </w:t>
      </w:r>
      <w:r w:rsidR="001B08BE">
        <w:rPr>
          <w:rFonts w:eastAsia="Calibri" w:cs="Arial"/>
          <w:szCs w:val="24"/>
        </w:rPr>
        <w:t xml:space="preserve">potential </w:t>
      </w:r>
      <w:r w:rsidR="00F960CB">
        <w:rPr>
          <w:rFonts w:eastAsia="Calibri" w:cs="Arial"/>
          <w:szCs w:val="24"/>
        </w:rPr>
        <w:t xml:space="preserve">ranging from sites only capable of delivering one home to others that can deliver up to thirty or more new homes. </w:t>
      </w:r>
      <w:r w:rsidR="00A030E9" w:rsidRPr="00B72648">
        <w:rPr>
          <w:rFonts w:eastAsia="Calibri" w:cs="Arial"/>
          <w:szCs w:val="24"/>
        </w:rPr>
        <w:t>. </w:t>
      </w:r>
      <w:r w:rsidR="00F960CB">
        <w:rPr>
          <w:rFonts w:eastAsia="Calibri" w:cs="Arial"/>
          <w:szCs w:val="24"/>
        </w:rPr>
        <w:t xml:space="preserve"> </w:t>
      </w:r>
      <w:r w:rsidR="00A86457" w:rsidRPr="00B72648">
        <w:rPr>
          <w:rFonts w:eastAsia="Calibri" w:cs="Arial"/>
          <w:szCs w:val="24"/>
        </w:rPr>
        <w:t>The sites proposed for in principle disposal for community led hous</w:t>
      </w:r>
      <w:r w:rsidR="00A86457" w:rsidRPr="000B60F3">
        <w:rPr>
          <w:rFonts w:eastAsia="Calibri" w:cs="Arial"/>
          <w:szCs w:val="24"/>
        </w:rPr>
        <w:t xml:space="preserve">ing use were selected </w:t>
      </w:r>
      <w:r w:rsidR="00A86457">
        <w:rPr>
          <w:rFonts w:eastAsia="Calibri" w:cs="Arial"/>
          <w:szCs w:val="24"/>
        </w:rPr>
        <w:t>based on the following criteria</w:t>
      </w:r>
      <w:r w:rsidR="007A7A61">
        <w:rPr>
          <w:rFonts w:eastAsia="Calibri" w:cs="Arial"/>
          <w:szCs w:val="24"/>
        </w:rPr>
        <w:t xml:space="preserve"> (Site selection </w:t>
      </w:r>
      <w:r w:rsidR="00532AC0">
        <w:rPr>
          <w:rFonts w:eastAsia="Calibri" w:cs="Arial"/>
          <w:szCs w:val="24"/>
        </w:rPr>
        <w:t xml:space="preserve">took </w:t>
      </w:r>
      <w:r w:rsidR="007A7A61" w:rsidRPr="007A7A61">
        <w:rPr>
          <w:rFonts w:eastAsia="Calibri" w:cs="Arial"/>
          <w:szCs w:val="24"/>
        </w:rPr>
        <w:t>a borough wide approach of available sites and not tied to any ward area)</w:t>
      </w:r>
      <w:r w:rsidR="00A86457" w:rsidRPr="00A86457">
        <w:rPr>
          <w:rFonts w:eastAsia="Calibri" w:cs="Arial"/>
          <w:szCs w:val="24"/>
        </w:rPr>
        <w:t>:</w:t>
      </w:r>
    </w:p>
    <w:p w:rsidR="00A86457" w:rsidRPr="00521651" w:rsidRDefault="00521651" w:rsidP="0057152E">
      <w:pPr>
        <w:spacing w:after="200" w:line="276" w:lineRule="auto"/>
        <w:ind w:left="720" w:hanging="720"/>
        <w:rPr>
          <w:rFonts w:eastAsia="Calibri" w:cs="Arial"/>
          <w:szCs w:val="24"/>
        </w:rPr>
      </w:pPr>
      <w:r>
        <w:rPr>
          <w:rFonts w:eastAsia="Calibri" w:cs="Arial"/>
          <w:szCs w:val="24"/>
        </w:rPr>
        <w:t>2.1.2</w:t>
      </w:r>
      <w:r w:rsidR="00F1222D">
        <w:rPr>
          <w:rFonts w:eastAsia="Calibri" w:cs="Arial"/>
          <w:szCs w:val="24"/>
        </w:rPr>
        <w:tab/>
      </w:r>
      <w:r w:rsidR="00C655FB" w:rsidRPr="0057152E">
        <w:rPr>
          <w:rFonts w:eastAsia="Calibri" w:cs="Arial"/>
          <w:szCs w:val="24"/>
        </w:rPr>
        <w:t>Sites suitable for development by the council:</w:t>
      </w:r>
      <w:r w:rsidR="00C655FB" w:rsidRPr="00521651">
        <w:rPr>
          <w:rFonts w:eastAsia="Calibri" w:cs="Arial"/>
          <w:szCs w:val="24"/>
        </w:rPr>
        <w:t xml:space="preserve"> </w:t>
      </w:r>
      <w:r w:rsidR="003234E4">
        <w:rPr>
          <w:rFonts w:eastAsia="Calibri" w:cs="Arial"/>
          <w:szCs w:val="24"/>
        </w:rPr>
        <w:t xml:space="preserve"> </w:t>
      </w:r>
      <w:r w:rsidR="00243C44">
        <w:rPr>
          <w:rFonts w:eastAsia="Calibri" w:cs="Arial"/>
          <w:szCs w:val="24"/>
        </w:rPr>
        <w:t>2</w:t>
      </w:r>
      <w:r w:rsidR="001B08BE">
        <w:rPr>
          <w:rFonts w:eastAsia="Calibri" w:cs="Arial"/>
          <w:szCs w:val="24"/>
        </w:rPr>
        <w:t>2</w:t>
      </w:r>
      <w:r w:rsidR="003234E4">
        <w:rPr>
          <w:rFonts w:eastAsia="Calibri" w:cs="Arial"/>
          <w:szCs w:val="24"/>
        </w:rPr>
        <w:t xml:space="preserve"> </w:t>
      </w:r>
      <w:r w:rsidR="00C655FB" w:rsidRPr="00521651">
        <w:rPr>
          <w:rFonts w:eastAsia="Calibri" w:cs="Arial"/>
          <w:szCs w:val="24"/>
        </w:rPr>
        <w:t>S</w:t>
      </w:r>
      <w:r w:rsidR="00A030E9" w:rsidRPr="00521651">
        <w:rPr>
          <w:rFonts w:eastAsia="Calibri" w:cs="Arial"/>
          <w:szCs w:val="24"/>
        </w:rPr>
        <w:t>ites which ha</w:t>
      </w:r>
      <w:r w:rsidR="00F960CB">
        <w:rPr>
          <w:rFonts w:eastAsia="Calibri" w:cs="Arial"/>
          <w:szCs w:val="24"/>
        </w:rPr>
        <w:t>ve</w:t>
      </w:r>
      <w:r w:rsidR="001B08BE">
        <w:rPr>
          <w:rFonts w:eastAsia="Calibri" w:cs="Arial"/>
          <w:szCs w:val="24"/>
        </w:rPr>
        <w:t xml:space="preserve"> </w:t>
      </w:r>
      <w:r w:rsidR="00A030E9" w:rsidRPr="00521651">
        <w:rPr>
          <w:rFonts w:eastAsia="Calibri" w:cs="Arial"/>
          <w:szCs w:val="24"/>
        </w:rPr>
        <w:t xml:space="preserve">the  potential for viable </w:t>
      </w:r>
      <w:r w:rsidR="00C655FB" w:rsidRPr="00C864C3">
        <w:rPr>
          <w:rFonts w:eastAsia="Calibri" w:cs="Arial"/>
          <w:szCs w:val="24"/>
        </w:rPr>
        <w:t xml:space="preserve">economic </w:t>
      </w:r>
      <w:r w:rsidR="00A030E9" w:rsidRPr="00C864C3">
        <w:rPr>
          <w:rFonts w:eastAsia="Calibri" w:cs="Arial"/>
          <w:szCs w:val="24"/>
        </w:rPr>
        <w:t>development by the council have been included in the council’s Building Council Homes for Londoners programme</w:t>
      </w:r>
      <w:r w:rsidR="003234E4">
        <w:rPr>
          <w:rFonts w:eastAsia="Calibri" w:cs="Arial"/>
          <w:szCs w:val="24"/>
        </w:rPr>
        <w:t>, some of which have already been completed and others are either on site or schemes in design.</w:t>
      </w:r>
      <w:r w:rsidR="00A030E9" w:rsidRPr="00C864C3">
        <w:rPr>
          <w:rFonts w:eastAsia="Calibri" w:cs="Arial"/>
          <w:szCs w:val="24"/>
        </w:rPr>
        <w:t xml:space="preserve"> </w:t>
      </w:r>
    </w:p>
    <w:p w:rsidR="00C864C3" w:rsidRPr="00A42226" w:rsidRDefault="00C177A4" w:rsidP="0057152E">
      <w:pPr>
        <w:spacing w:after="200" w:line="276" w:lineRule="auto"/>
        <w:ind w:left="720" w:hanging="720"/>
        <w:rPr>
          <w:rFonts w:eastAsia="Calibri" w:cs="Arial"/>
          <w:szCs w:val="24"/>
        </w:rPr>
      </w:pPr>
      <w:r w:rsidRPr="00A42226">
        <w:rPr>
          <w:rFonts w:eastAsia="Calibri" w:cs="Arial"/>
          <w:szCs w:val="24"/>
        </w:rPr>
        <w:t>2.</w:t>
      </w:r>
      <w:r w:rsidR="00521651" w:rsidRPr="00A42226">
        <w:rPr>
          <w:rFonts w:eastAsia="Calibri" w:cs="Arial"/>
          <w:szCs w:val="24"/>
        </w:rPr>
        <w:t>1.3</w:t>
      </w:r>
      <w:r w:rsidR="00F1222D">
        <w:rPr>
          <w:rFonts w:eastAsia="Calibri" w:cs="Arial"/>
          <w:szCs w:val="24"/>
        </w:rPr>
        <w:tab/>
      </w:r>
      <w:r w:rsidR="001B08BE">
        <w:rPr>
          <w:rFonts w:eastAsia="Calibri" w:cs="Arial"/>
          <w:szCs w:val="24"/>
        </w:rPr>
        <w:t xml:space="preserve">11 </w:t>
      </w:r>
      <w:r w:rsidR="003234E4">
        <w:rPr>
          <w:rFonts w:eastAsia="Calibri" w:cs="Arial"/>
          <w:szCs w:val="24"/>
        </w:rPr>
        <w:t>s</w:t>
      </w:r>
      <w:r w:rsidR="00C655FB" w:rsidRPr="00A42226">
        <w:rPr>
          <w:rFonts w:eastAsia="Calibri" w:cs="Arial"/>
          <w:szCs w:val="24"/>
        </w:rPr>
        <w:t xml:space="preserve">ites </w:t>
      </w:r>
      <w:r w:rsidR="003234E4">
        <w:rPr>
          <w:rFonts w:eastAsia="Calibri" w:cs="Arial"/>
          <w:szCs w:val="24"/>
        </w:rPr>
        <w:t xml:space="preserve">are </w:t>
      </w:r>
      <w:r w:rsidRPr="00A42226">
        <w:rPr>
          <w:rFonts w:eastAsia="Calibri" w:cs="Arial"/>
          <w:szCs w:val="24"/>
        </w:rPr>
        <w:t xml:space="preserve">identified to have some </w:t>
      </w:r>
      <w:r w:rsidR="00C655FB" w:rsidRPr="00A42226">
        <w:rPr>
          <w:rFonts w:eastAsia="Calibri" w:cs="Arial"/>
          <w:szCs w:val="24"/>
        </w:rPr>
        <w:t xml:space="preserve">development potential </w:t>
      </w:r>
      <w:r w:rsidRPr="00A42226">
        <w:rPr>
          <w:rFonts w:eastAsia="Calibri" w:cs="Arial"/>
          <w:szCs w:val="24"/>
        </w:rPr>
        <w:t>subject to detailed planning and site assessment</w:t>
      </w:r>
      <w:r w:rsidR="003234E4">
        <w:rPr>
          <w:rFonts w:eastAsia="Calibri" w:cs="Arial"/>
          <w:szCs w:val="24"/>
        </w:rPr>
        <w:t>, but are not economically viable for inclusion in the council’s house building programme because they are too small and are not near enough to each other to be developed together.</w:t>
      </w:r>
      <w:r w:rsidR="00C864C3" w:rsidRPr="00A42226">
        <w:rPr>
          <w:rFonts w:eastAsia="Calibri" w:cs="Arial"/>
          <w:szCs w:val="24"/>
        </w:rPr>
        <w:t xml:space="preserve"> </w:t>
      </w:r>
      <w:r w:rsidR="00A42226" w:rsidRPr="00A42226">
        <w:rPr>
          <w:rFonts w:eastAsia="Calibri" w:cs="Arial"/>
          <w:szCs w:val="24"/>
        </w:rPr>
        <w:t>Of the</w:t>
      </w:r>
      <w:r w:rsidR="003234E4">
        <w:rPr>
          <w:rFonts w:eastAsia="Calibri" w:cs="Arial"/>
          <w:szCs w:val="24"/>
        </w:rPr>
        <w:t xml:space="preserve">se </w:t>
      </w:r>
      <w:r w:rsidR="001B08BE">
        <w:rPr>
          <w:rFonts w:eastAsia="Calibri" w:cs="Arial"/>
          <w:szCs w:val="24"/>
        </w:rPr>
        <w:t>6</w:t>
      </w:r>
      <w:r w:rsidR="00A42226" w:rsidRPr="00A42226">
        <w:rPr>
          <w:rFonts w:eastAsia="Calibri" w:cs="Arial"/>
          <w:szCs w:val="24"/>
        </w:rPr>
        <w:t xml:space="preserve"> sites, those with the greatest capacity for development were selected </w:t>
      </w:r>
      <w:r w:rsidR="00C864C3" w:rsidRPr="00A42226">
        <w:rPr>
          <w:rFonts w:eastAsia="Calibri" w:cs="Arial"/>
          <w:szCs w:val="24"/>
        </w:rPr>
        <w:t>for use for Community Led Housing</w:t>
      </w:r>
      <w:r w:rsidR="00A42226" w:rsidRPr="00A42226">
        <w:rPr>
          <w:rFonts w:eastAsia="Calibri" w:cs="Arial"/>
          <w:szCs w:val="24"/>
        </w:rPr>
        <w:t>.</w:t>
      </w:r>
      <w:r w:rsidR="00C864C3" w:rsidRPr="0057152E">
        <w:rPr>
          <w:rFonts w:eastAsia="Calibri" w:cs="Arial"/>
          <w:szCs w:val="24"/>
        </w:rPr>
        <w:t xml:space="preserve"> </w:t>
      </w:r>
      <w:r w:rsidR="00A42226" w:rsidRPr="00C177A4">
        <w:rPr>
          <w:rFonts w:eastAsia="Calibri" w:cs="Arial"/>
          <w:szCs w:val="24"/>
        </w:rPr>
        <w:t xml:space="preserve">In the event that further site investigations indicate that one or more of these sites cannot go forward for development, Housing will consider whether another site </w:t>
      </w:r>
      <w:r w:rsidR="000626AA">
        <w:rPr>
          <w:rFonts w:eastAsia="Calibri" w:cs="Arial"/>
          <w:szCs w:val="24"/>
        </w:rPr>
        <w:t>is available for substitution</w:t>
      </w:r>
      <w:r w:rsidR="00A42226" w:rsidRPr="00C177A4">
        <w:rPr>
          <w:rFonts w:eastAsia="Calibri" w:cs="Arial"/>
          <w:szCs w:val="24"/>
        </w:rPr>
        <w:t xml:space="preserve"> in its place, in consultation with ward councillors</w:t>
      </w:r>
      <w:r w:rsidR="005D4447">
        <w:rPr>
          <w:rFonts w:eastAsia="Calibri" w:cs="Arial"/>
          <w:szCs w:val="24"/>
        </w:rPr>
        <w:t xml:space="preserve"> </w:t>
      </w:r>
    </w:p>
    <w:p w:rsidR="00C177A4" w:rsidRDefault="00A42226" w:rsidP="0057152E">
      <w:pPr>
        <w:spacing w:after="200" w:line="276" w:lineRule="auto"/>
        <w:ind w:left="720" w:hanging="720"/>
        <w:rPr>
          <w:rFonts w:eastAsia="Calibri" w:cs="Arial"/>
          <w:szCs w:val="24"/>
        </w:rPr>
      </w:pPr>
      <w:r w:rsidRPr="00A42226">
        <w:rPr>
          <w:rFonts w:eastAsia="Calibri" w:cs="Arial"/>
          <w:szCs w:val="24"/>
        </w:rPr>
        <w:t>2.1.4</w:t>
      </w:r>
      <w:r w:rsidR="00F1222D">
        <w:rPr>
          <w:rFonts w:eastAsia="Calibri" w:cs="Arial"/>
          <w:szCs w:val="24"/>
        </w:rPr>
        <w:tab/>
      </w:r>
      <w:r w:rsidR="00A030E9" w:rsidRPr="00A42226">
        <w:rPr>
          <w:rFonts w:eastAsia="Calibri" w:cs="Arial"/>
          <w:szCs w:val="24"/>
        </w:rPr>
        <w:t>Of the remaining sites with</w:t>
      </w:r>
      <w:r w:rsidRPr="00A42226">
        <w:rPr>
          <w:rFonts w:eastAsia="Calibri" w:cs="Arial"/>
          <w:szCs w:val="24"/>
        </w:rPr>
        <w:t xml:space="preserve"> limited</w:t>
      </w:r>
      <w:r w:rsidR="00A030E9" w:rsidRPr="00A42226">
        <w:rPr>
          <w:rFonts w:eastAsia="Calibri" w:cs="Arial"/>
          <w:szCs w:val="24"/>
        </w:rPr>
        <w:t xml:space="preserve"> development potential, five small sites which only have development potential </w:t>
      </w:r>
      <w:r w:rsidR="00484942" w:rsidRPr="00A42226">
        <w:rPr>
          <w:rFonts w:eastAsia="Calibri" w:cs="Arial"/>
          <w:szCs w:val="24"/>
        </w:rPr>
        <w:t>for one</w:t>
      </w:r>
      <w:r w:rsidR="00B743EE" w:rsidRPr="00A42226">
        <w:rPr>
          <w:rFonts w:eastAsia="Calibri" w:cs="Arial"/>
          <w:szCs w:val="24"/>
        </w:rPr>
        <w:t>,</w:t>
      </w:r>
      <w:r w:rsidR="00A030E9" w:rsidRPr="00A42226">
        <w:rPr>
          <w:rFonts w:eastAsia="Calibri" w:cs="Arial"/>
          <w:szCs w:val="24"/>
        </w:rPr>
        <w:t xml:space="preserve"> or</w:t>
      </w:r>
      <w:r w:rsidR="009571C2" w:rsidRPr="00A42226">
        <w:rPr>
          <w:rFonts w:eastAsia="Calibri" w:cs="Arial"/>
          <w:szCs w:val="24"/>
        </w:rPr>
        <w:t xml:space="preserve"> possibly</w:t>
      </w:r>
      <w:r w:rsidR="00A030E9" w:rsidRPr="00A42226">
        <w:rPr>
          <w:rFonts w:eastAsia="Calibri" w:cs="Arial"/>
          <w:szCs w:val="24"/>
        </w:rPr>
        <w:t xml:space="preserve"> two homes</w:t>
      </w:r>
      <w:r w:rsidR="009571C2" w:rsidRPr="00A42226">
        <w:rPr>
          <w:rFonts w:eastAsia="Calibri" w:cs="Arial"/>
          <w:szCs w:val="24"/>
        </w:rPr>
        <w:t xml:space="preserve"> in some cases</w:t>
      </w:r>
      <w:r w:rsidR="00B743EE" w:rsidRPr="00A42226">
        <w:rPr>
          <w:rFonts w:eastAsia="Calibri" w:cs="Arial"/>
          <w:szCs w:val="24"/>
        </w:rPr>
        <w:t>,</w:t>
      </w:r>
      <w:r w:rsidR="00A030E9" w:rsidRPr="00A42226">
        <w:rPr>
          <w:rFonts w:eastAsia="Calibri" w:cs="Arial"/>
          <w:szCs w:val="24"/>
        </w:rPr>
        <w:t xml:space="preserve"> </w:t>
      </w:r>
      <w:r>
        <w:rPr>
          <w:rFonts w:eastAsia="Calibri" w:cs="Arial"/>
          <w:szCs w:val="24"/>
        </w:rPr>
        <w:t xml:space="preserve">were selected </w:t>
      </w:r>
      <w:r w:rsidR="00A030E9" w:rsidRPr="00A42226">
        <w:rPr>
          <w:rFonts w:eastAsia="Calibri" w:cs="Arial"/>
          <w:szCs w:val="24"/>
        </w:rPr>
        <w:t>for disposal via the GLA’s Small Sites Small Builders initiative. </w:t>
      </w:r>
      <w:r w:rsidR="00A030E9" w:rsidRPr="00522A34">
        <w:rPr>
          <w:rFonts w:eastAsia="Calibri" w:cs="Arial"/>
          <w:szCs w:val="24"/>
        </w:rPr>
        <w:t xml:space="preserve"> </w:t>
      </w:r>
    </w:p>
    <w:p w:rsidR="0077176B" w:rsidRDefault="00C177A4" w:rsidP="00A030E9">
      <w:pPr>
        <w:ind w:left="720" w:hanging="720"/>
        <w:rPr>
          <w:rFonts w:eastAsia="Calibri" w:cs="Arial"/>
          <w:szCs w:val="24"/>
        </w:rPr>
      </w:pPr>
      <w:r>
        <w:rPr>
          <w:rFonts w:eastAsia="Calibri" w:cs="Arial"/>
          <w:szCs w:val="24"/>
        </w:rPr>
        <w:t>2.</w:t>
      </w:r>
      <w:r w:rsidR="00521651">
        <w:rPr>
          <w:rFonts w:eastAsia="Calibri" w:cs="Arial"/>
          <w:szCs w:val="24"/>
        </w:rPr>
        <w:t>1.5</w:t>
      </w:r>
      <w:r w:rsidR="00F1222D">
        <w:rPr>
          <w:rFonts w:eastAsia="Calibri" w:cs="Arial"/>
          <w:szCs w:val="24"/>
        </w:rPr>
        <w:tab/>
      </w:r>
      <w:r w:rsidR="00A030E9" w:rsidRPr="00C177A4">
        <w:rPr>
          <w:rFonts w:eastAsia="Calibri" w:cs="Arial"/>
          <w:szCs w:val="24"/>
        </w:rPr>
        <w:t xml:space="preserve">There remain </w:t>
      </w:r>
      <w:r w:rsidR="001B08BE">
        <w:rPr>
          <w:rFonts w:eastAsia="Calibri" w:cs="Arial"/>
          <w:szCs w:val="24"/>
        </w:rPr>
        <w:t xml:space="preserve">11 small sites which are in the process of being reviewed for development potential and </w:t>
      </w:r>
      <w:r w:rsidR="00A030E9" w:rsidRPr="00C177A4">
        <w:rPr>
          <w:rFonts w:eastAsia="Calibri" w:cs="Arial"/>
          <w:szCs w:val="24"/>
        </w:rPr>
        <w:t>34 small infill sites that have been excluded as having no development potential</w:t>
      </w:r>
      <w:r w:rsidR="00A42226">
        <w:rPr>
          <w:rFonts w:eastAsia="Calibri" w:cs="Arial"/>
          <w:szCs w:val="24"/>
        </w:rPr>
        <w:t>, based on Planning advice.</w:t>
      </w:r>
    </w:p>
    <w:p w:rsidR="0077176B" w:rsidRDefault="0077176B" w:rsidP="0057152E">
      <w:pPr>
        <w:rPr>
          <w:rFonts w:eastAsia="Calibri" w:cs="Arial"/>
          <w:szCs w:val="24"/>
        </w:rPr>
      </w:pPr>
    </w:p>
    <w:p w:rsidR="00754E93" w:rsidRPr="00BC0D46" w:rsidRDefault="00754E93" w:rsidP="00754E93">
      <w:pPr>
        <w:spacing w:after="200" w:line="276" w:lineRule="auto"/>
        <w:ind w:left="720" w:hanging="720"/>
        <w:rPr>
          <w:rFonts w:eastAsia="Calibri" w:cs="Arial"/>
          <w:szCs w:val="24"/>
        </w:rPr>
      </w:pPr>
      <w:r>
        <w:rPr>
          <w:rFonts w:eastAsia="Calibri" w:cs="Arial"/>
          <w:szCs w:val="24"/>
        </w:rPr>
        <w:t>2.2</w:t>
      </w:r>
      <w:r>
        <w:rPr>
          <w:rFonts w:eastAsia="Calibri" w:cs="Arial"/>
          <w:szCs w:val="24"/>
        </w:rPr>
        <w:tab/>
        <w:t xml:space="preserve">The sites proposed for </w:t>
      </w:r>
      <w:r w:rsidR="005F02AD">
        <w:rPr>
          <w:rFonts w:eastAsia="Calibri" w:cs="Arial"/>
          <w:szCs w:val="24"/>
        </w:rPr>
        <w:t xml:space="preserve">in principle </w:t>
      </w:r>
      <w:r>
        <w:rPr>
          <w:rFonts w:eastAsia="Calibri" w:cs="Arial"/>
          <w:szCs w:val="24"/>
        </w:rPr>
        <w:t>disposal for Community Led Housing use are:</w:t>
      </w:r>
    </w:p>
    <w:tbl>
      <w:tblPr>
        <w:tblStyle w:val="TableGrid"/>
        <w:tblW w:w="10175" w:type="dxa"/>
        <w:tblInd w:w="-318" w:type="dxa"/>
        <w:tblLook w:val="04A0" w:firstRow="1" w:lastRow="0" w:firstColumn="1" w:lastColumn="0" w:noHBand="0" w:noVBand="1"/>
      </w:tblPr>
      <w:tblGrid>
        <w:gridCol w:w="2017"/>
        <w:gridCol w:w="1297"/>
        <w:gridCol w:w="1484"/>
        <w:gridCol w:w="1004"/>
        <w:gridCol w:w="1137"/>
        <w:gridCol w:w="1689"/>
        <w:gridCol w:w="1547"/>
      </w:tblGrid>
      <w:tr w:rsidR="00A1646C" w:rsidRPr="00130955" w:rsidTr="00B743EE">
        <w:tc>
          <w:tcPr>
            <w:tcW w:w="2017" w:type="dxa"/>
          </w:tcPr>
          <w:p w:rsidR="00A1646C" w:rsidRPr="00130955" w:rsidRDefault="00A1646C" w:rsidP="00EF4349">
            <w:pPr>
              <w:rPr>
                <w:b/>
              </w:rPr>
            </w:pPr>
            <w:r w:rsidRPr="00130955">
              <w:rPr>
                <w:b/>
              </w:rPr>
              <w:t>Site description</w:t>
            </w:r>
          </w:p>
        </w:tc>
        <w:tc>
          <w:tcPr>
            <w:tcW w:w="1297" w:type="dxa"/>
          </w:tcPr>
          <w:p w:rsidR="00A1646C" w:rsidRPr="00130955" w:rsidRDefault="00A1646C" w:rsidP="00EF4349">
            <w:pPr>
              <w:rPr>
                <w:b/>
              </w:rPr>
            </w:pPr>
            <w:r w:rsidRPr="00130955">
              <w:rPr>
                <w:b/>
              </w:rPr>
              <w:t>Postcode</w:t>
            </w:r>
          </w:p>
        </w:tc>
        <w:tc>
          <w:tcPr>
            <w:tcW w:w="1484" w:type="dxa"/>
          </w:tcPr>
          <w:p w:rsidR="00A1646C" w:rsidRPr="00130955" w:rsidRDefault="00A1646C" w:rsidP="00EF4349">
            <w:pPr>
              <w:rPr>
                <w:b/>
              </w:rPr>
            </w:pPr>
            <w:r w:rsidRPr="00130955">
              <w:rPr>
                <w:b/>
              </w:rPr>
              <w:t>Ward</w:t>
            </w:r>
          </w:p>
        </w:tc>
        <w:tc>
          <w:tcPr>
            <w:tcW w:w="1004" w:type="dxa"/>
          </w:tcPr>
          <w:p w:rsidR="00A1646C" w:rsidRPr="00326969" w:rsidRDefault="00A1646C" w:rsidP="00EF4349">
            <w:pPr>
              <w:rPr>
                <w:b/>
              </w:rPr>
            </w:pPr>
            <w:r w:rsidRPr="00326969">
              <w:rPr>
                <w:b/>
              </w:rPr>
              <w:t>Site area (acres)</w:t>
            </w:r>
          </w:p>
        </w:tc>
        <w:tc>
          <w:tcPr>
            <w:tcW w:w="1137" w:type="dxa"/>
          </w:tcPr>
          <w:p w:rsidR="00A1646C" w:rsidRPr="00326969" w:rsidRDefault="00A1646C" w:rsidP="00EF4349">
            <w:pPr>
              <w:rPr>
                <w:b/>
              </w:rPr>
            </w:pPr>
            <w:r w:rsidRPr="00326969">
              <w:rPr>
                <w:b/>
              </w:rPr>
              <w:t>No of garages</w:t>
            </w:r>
          </w:p>
        </w:tc>
        <w:tc>
          <w:tcPr>
            <w:tcW w:w="1689" w:type="dxa"/>
          </w:tcPr>
          <w:p w:rsidR="00A1646C" w:rsidRPr="00326969" w:rsidRDefault="00A1646C" w:rsidP="00EF4349">
            <w:pPr>
              <w:rPr>
                <w:b/>
              </w:rPr>
            </w:pPr>
            <w:r w:rsidRPr="00326969">
              <w:rPr>
                <w:b/>
              </w:rPr>
              <w:t>No of let garages</w:t>
            </w:r>
          </w:p>
        </w:tc>
        <w:tc>
          <w:tcPr>
            <w:tcW w:w="1547" w:type="dxa"/>
          </w:tcPr>
          <w:p w:rsidR="00A1646C" w:rsidRPr="00326969" w:rsidRDefault="00A1646C" w:rsidP="00EF4349">
            <w:pPr>
              <w:rPr>
                <w:b/>
              </w:rPr>
            </w:pPr>
            <w:r>
              <w:rPr>
                <w:b/>
              </w:rPr>
              <w:t>Estimated site capacity</w:t>
            </w:r>
          </w:p>
        </w:tc>
      </w:tr>
      <w:tr w:rsidR="00A1646C" w:rsidRPr="00B65BDD" w:rsidTr="00B743EE">
        <w:tc>
          <w:tcPr>
            <w:tcW w:w="2017" w:type="dxa"/>
          </w:tcPr>
          <w:p w:rsidR="00A1646C" w:rsidRPr="00130955" w:rsidRDefault="00A1646C" w:rsidP="00EF4349">
            <w:r w:rsidRPr="00130955">
              <w:t xml:space="preserve">Garages </w:t>
            </w:r>
            <w:r w:rsidRPr="00F85271">
              <w:rPr>
                <w:b/>
              </w:rPr>
              <w:t>Amy Johnson Court</w:t>
            </w:r>
          </w:p>
        </w:tc>
        <w:tc>
          <w:tcPr>
            <w:tcW w:w="1297" w:type="dxa"/>
          </w:tcPr>
          <w:p w:rsidR="00A1646C" w:rsidRPr="00130955" w:rsidRDefault="00A1646C" w:rsidP="00EF4349">
            <w:r w:rsidRPr="00130955">
              <w:t>HA8 5JX</w:t>
            </w:r>
          </w:p>
        </w:tc>
        <w:tc>
          <w:tcPr>
            <w:tcW w:w="1484" w:type="dxa"/>
          </w:tcPr>
          <w:p w:rsidR="00A1646C" w:rsidRPr="00130955" w:rsidRDefault="00A1646C" w:rsidP="00EF4349">
            <w:r w:rsidRPr="00130955">
              <w:t>Edgware</w:t>
            </w:r>
          </w:p>
        </w:tc>
        <w:tc>
          <w:tcPr>
            <w:tcW w:w="1004" w:type="dxa"/>
          </w:tcPr>
          <w:p w:rsidR="00A1646C" w:rsidRPr="00B65BDD" w:rsidRDefault="00A1646C" w:rsidP="00EF4349">
            <w:r w:rsidRPr="00B65BDD">
              <w:t>0.15</w:t>
            </w:r>
          </w:p>
        </w:tc>
        <w:tc>
          <w:tcPr>
            <w:tcW w:w="1137" w:type="dxa"/>
          </w:tcPr>
          <w:p w:rsidR="00A1646C" w:rsidRPr="00B65BDD" w:rsidRDefault="00A1646C" w:rsidP="00EF4349">
            <w:r w:rsidRPr="00B65BDD">
              <w:t>15</w:t>
            </w:r>
          </w:p>
        </w:tc>
        <w:tc>
          <w:tcPr>
            <w:tcW w:w="1689" w:type="dxa"/>
          </w:tcPr>
          <w:p w:rsidR="00A1646C" w:rsidRPr="00B65BDD" w:rsidRDefault="00A1646C" w:rsidP="00EF4349">
            <w:r w:rsidRPr="00B65BDD">
              <w:t>6</w:t>
            </w:r>
          </w:p>
        </w:tc>
        <w:tc>
          <w:tcPr>
            <w:tcW w:w="1547" w:type="dxa"/>
          </w:tcPr>
          <w:p w:rsidR="00A1646C" w:rsidRPr="00B65BDD" w:rsidRDefault="009571C2" w:rsidP="00EF4349">
            <w:r>
              <w:t>2 houses or 3 / 4 flats</w:t>
            </w:r>
          </w:p>
        </w:tc>
      </w:tr>
      <w:tr w:rsidR="00A1646C" w:rsidRPr="00B65BDD" w:rsidTr="00B743EE">
        <w:tc>
          <w:tcPr>
            <w:tcW w:w="2017" w:type="dxa"/>
          </w:tcPr>
          <w:p w:rsidR="00A1646C" w:rsidRPr="00743689" w:rsidRDefault="00A1646C" w:rsidP="00EF4349">
            <w:r w:rsidRPr="00743689">
              <w:t xml:space="preserve">Currently has Storage containers at site at </w:t>
            </w:r>
            <w:r w:rsidRPr="00F85271">
              <w:rPr>
                <w:b/>
              </w:rPr>
              <w:t>The Middle Way</w:t>
            </w:r>
          </w:p>
        </w:tc>
        <w:tc>
          <w:tcPr>
            <w:tcW w:w="1297" w:type="dxa"/>
          </w:tcPr>
          <w:p w:rsidR="00A1646C" w:rsidRPr="00743689" w:rsidRDefault="00A1646C" w:rsidP="00EF4349">
            <w:r w:rsidRPr="00743689">
              <w:t>HA3 7EG</w:t>
            </w:r>
          </w:p>
        </w:tc>
        <w:tc>
          <w:tcPr>
            <w:tcW w:w="1484" w:type="dxa"/>
          </w:tcPr>
          <w:p w:rsidR="00A1646C" w:rsidRPr="00743689" w:rsidRDefault="00A1646C" w:rsidP="00EF4349">
            <w:r w:rsidRPr="00743689">
              <w:t>Wealdstone</w:t>
            </w:r>
          </w:p>
        </w:tc>
        <w:tc>
          <w:tcPr>
            <w:tcW w:w="1004" w:type="dxa"/>
          </w:tcPr>
          <w:p w:rsidR="00A1646C" w:rsidRPr="00B65BDD" w:rsidRDefault="00A1646C" w:rsidP="00EF4349">
            <w:r w:rsidRPr="00B65BDD">
              <w:t>0.19</w:t>
            </w:r>
          </w:p>
        </w:tc>
        <w:tc>
          <w:tcPr>
            <w:tcW w:w="1137" w:type="dxa"/>
          </w:tcPr>
          <w:p w:rsidR="00A1646C" w:rsidRPr="00B65BDD" w:rsidRDefault="00A1646C" w:rsidP="00EF4349">
            <w:r w:rsidRPr="00B65BDD">
              <w:t>n/a</w:t>
            </w:r>
          </w:p>
        </w:tc>
        <w:tc>
          <w:tcPr>
            <w:tcW w:w="1689" w:type="dxa"/>
          </w:tcPr>
          <w:p w:rsidR="00A1646C" w:rsidRPr="00B65BDD" w:rsidRDefault="00A1646C" w:rsidP="00EF4349">
            <w:r w:rsidRPr="00B65BDD">
              <w:t>n/a</w:t>
            </w:r>
          </w:p>
        </w:tc>
        <w:tc>
          <w:tcPr>
            <w:tcW w:w="1547" w:type="dxa"/>
          </w:tcPr>
          <w:p w:rsidR="00A1646C" w:rsidRPr="00B65BDD" w:rsidRDefault="009571C2" w:rsidP="00EF4349">
            <w:r>
              <w:t>2 single storey bungalows</w:t>
            </w:r>
          </w:p>
        </w:tc>
      </w:tr>
      <w:tr w:rsidR="00A1646C" w:rsidRPr="00B65BDD" w:rsidTr="00B743EE">
        <w:tc>
          <w:tcPr>
            <w:tcW w:w="2017" w:type="dxa"/>
          </w:tcPr>
          <w:p w:rsidR="00A1646C" w:rsidRPr="00743689" w:rsidRDefault="00A1646C" w:rsidP="00EF4349">
            <w:r>
              <w:t>Vacant d</w:t>
            </w:r>
            <w:r w:rsidRPr="00743689">
              <w:t xml:space="preserve">ecommissioned playground. </w:t>
            </w:r>
            <w:r w:rsidRPr="00F85271">
              <w:rPr>
                <w:b/>
              </w:rPr>
              <w:lastRenderedPageBreak/>
              <w:t>Hartington Close</w:t>
            </w:r>
          </w:p>
        </w:tc>
        <w:tc>
          <w:tcPr>
            <w:tcW w:w="1297" w:type="dxa"/>
          </w:tcPr>
          <w:p w:rsidR="00A1646C" w:rsidRPr="00743689" w:rsidRDefault="00A1646C" w:rsidP="00EF4349">
            <w:r w:rsidRPr="00743689">
              <w:lastRenderedPageBreak/>
              <w:t>HA1 3RL</w:t>
            </w:r>
          </w:p>
        </w:tc>
        <w:tc>
          <w:tcPr>
            <w:tcW w:w="1484" w:type="dxa"/>
          </w:tcPr>
          <w:p w:rsidR="00A1646C" w:rsidRPr="00743689" w:rsidRDefault="00A1646C" w:rsidP="00EF4349">
            <w:r w:rsidRPr="00743689">
              <w:t>Harrow on the Hill</w:t>
            </w:r>
          </w:p>
        </w:tc>
        <w:tc>
          <w:tcPr>
            <w:tcW w:w="1004" w:type="dxa"/>
          </w:tcPr>
          <w:p w:rsidR="00A1646C" w:rsidRPr="00B65BDD" w:rsidRDefault="00A1646C" w:rsidP="00EF4349">
            <w:r w:rsidRPr="00B65BDD">
              <w:t>0.082</w:t>
            </w:r>
          </w:p>
        </w:tc>
        <w:tc>
          <w:tcPr>
            <w:tcW w:w="1137" w:type="dxa"/>
          </w:tcPr>
          <w:p w:rsidR="00A1646C" w:rsidRPr="00B65BDD" w:rsidRDefault="00A1646C" w:rsidP="00EF4349">
            <w:r w:rsidRPr="00B65BDD">
              <w:t>n/a</w:t>
            </w:r>
          </w:p>
        </w:tc>
        <w:tc>
          <w:tcPr>
            <w:tcW w:w="1689" w:type="dxa"/>
          </w:tcPr>
          <w:p w:rsidR="00A1646C" w:rsidRPr="00B65BDD" w:rsidRDefault="00A1646C" w:rsidP="00EF4349">
            <w:r w:rsidRPr="00B65BDD">
              <w:t>n/a</w:t>
            </w:r>
          </w:p>
        </w:tc>
        <w:tc>
          <w:tcPr>
            <w:tcW w:w="1547" w:type="dxa"/>
          </w:tcPr>
          <w:p w:rsidR="00A1646C" w:rsidRPr="00B65BDD" w:rsidRDefault="009571C2" w:rsidP="00EF4349">
            <w:r>
              <w:t>1 house</w:t>
            </w:r>
          </w:p>
        </w:tc>
      </w:tr>
      <w:tr w:rsidR="00A1646C" w:rsidRPr="00F85271" w:rsidTr="00B743EE">
        <w:tc>
          <w:tcPr>
            <w:tcW w:w="2017" w:type="dxa"/>
          </w:tcPr>
          <w:p w:rsidR="00A1646C" w:rsidRPr="00F85271" w:rsidRDefault="00A1646C" w:rsidP="00EF4349">
            <w:r w:rsidRPr="00F85271">
              <w:lastRenderedPageBreak/>
              <w:t xml:space="preserve">Lock up storage / garage at </w:t>
            </w:r>
            <w:r w:rsidRPr="00F85271">
              <w:rPr>
                <w:b/>
              </w:rPr>
              <w:t>Ellement Close.</w:t>
            </w:r>
          </w:p>
        </w:tc>
        <w:tc>
          <w:tcPr>
            <w:tcW w:w="1297" w:type="dxa"/>
          </w:tcPr>
          <w:p w:rsidR="00A1646C" w:rsidRPr="00F85271" w:rsidRDefault="00A1646C" w:rsidP="00EF4349">
            <w:r w:rsidRPr="00F85271">
              <w:t>HA5 1ER</w:t>
            </w:r>
          </w:p>
        </w:tc>
        <w:tc>
          <w:tcPr>
            <w:tcW w:w="1484" w:type="dxa"/>
          </w:tcPr>
          <w:p w:rsidR="00A1646C" w:rsidRPr="00F85271" w:rsidRDefault="00A1646C" w:rsidP="00EF4349">
            <w:r w:rsidRPr="00F85271">
              <w:t>Pinner South</w:t>
            </w:r>
          </w:p>
        </w:tc>
        <w:tc>
          <w:tcPr>
            <w:tcW w:w="1004" w:type="dxa"/>
          </w:tcPr>
          <w:p w:rsidR="00A1646C" w:rsidRPr="00534479" w:rsidRDefault="00A1646C" w:rsidP="00EF4349">
            <w:pPr>
              <w:rPr>
                <w:color w:val="7030A0"/>
                <w:highlight w:val="yellow"/>
              </w:rPr>
            </w:pPr>
            <w:r w:rsidRPr="00040122">
              <w:t>0.012</w:t>
            </w:r>
          </w:p>
        </w:tc>
        <w:tc>
          <w:tcPr>
            <w:tcW w:w="1137" w:type="dxa"/>
          </w:tcPr>
          <w:p w:rsidR="00A1646C" w:rsidRPr="00B65BDD" w:rsidRDefault="00E953B9" w:rsidP="00EF4349">
            <w:r>
              <w:t>2</w:t>
            </w:r>
          </w:p>
        </w:tc>
        <w:tc>
          <w:tcPr>
            <w:tcW w:w="1689" w:type="dxa"/>
          </w:tcPr>
          <w:p w:rsidR="00A1646C" w:rsidRPr="00B65BDD" w:rsidRDefault="00E953B9" w:rsidP="00EF4349">
            <w:r>
              <w:t>2</w:t>
            </w:r>
          </w:p>
        </w:tc>
        <w:tc>
          <w:tcPr>
            <w:tcW w:w="1547" w:type="dxa"/>
          </w:tcPr>
          <w:p w:rsidR="00A1646C" w:rsidRPr="00B65BDD" w:rsidRDefault="009571C2" w:rsidP="00EF4349">
            <w:r>
              <w:t>2 houses or 3 / 4 flats</w:t>
            </w:r>
          </w:p>
        </w:tc>
      </w:tr>
      <w:tr w:rsidR="00A1646C" w:rsidRPr="00D0076C" w:rsidTr="00B743EE">
        <w:tc>
          <w:tcPr>
            <w:tcW w:w="2017" w:type="dxa"/>
          </w:tcPr>
          <w:p w:rsidR="00A1646C" w:rsidRPr="00F85271" w:rsidRDefault="00A1646C" w:rsidP="00EF4349">
            <w:r w:rsidRPr="00F85271">
              <w:t xml:space="preserve">Garages at </w:t>
            </w:r>
            <w:r w:rsidRPr="00F85271">
              <w:rPr>
                <w:b/>
              </w:rPr>
              <w:t>Westbere Drive</w:t>
            </w:r>
          </w:p>
        </w:tc>
        <w:tc>
          <w:tcPr>
            <w:tcW w:w="1297" w:type="dxa"/>
          </w:tcPr>
          <w:p w:rsidR="00A1646C" w:rsidRPr="00F85271" w:rsidRDefault="00A1646C" w:rsidP="00EF4349">
            <w:r w:rsidRPr="00F85271">
              <w:t>HA7 4SQ</w:t>
            </w:r>
          </w:p>
        </w:tc>
        <w:tc>
          <w:tcPr>
            <w:tcW w:w="1484" w:type="dxa"/>
          </w:tcPr>
          <w:p w:rsidR="00A1646C" w:rsidRPr="00F85271" w:rsidRDefault="00A1646C" w:rsidP="00EF4349">
            <w:r w:rsidRPr="00F85271">
              <w:t>Canons</w:t>
            </w:r>
          </w:p>
        </w:tc>
        <w:tc>
          <w:tcPr>
            <w:tcW w:w="1004" w:type="dxa"/>
          </w:tcPr>
          <w:p w:rsidR="00A1646C" w:rsidRPr="00B65BDD" w:rsidRDefault="00A1646C" w:rsidP="00EF4349">
            <w:r w:rsidRPr="00B65BDD">
              <w:t>0.075</w:t>
            </w:r>
          </w:p>
        </w:tc>
        <w:tc>
          <w:tcPr>
            <w:tcW w:w="1137" w:type="dxa"/>
          </w:tcPr>
          <w:p w:rsidR="00A1646C" w:rsidRPr="00B65BDD" w:rsidRDefault="00A1646C" w:rsidP="00EF4349">
            <w:r w:rsidRPr="00B65BDD">
              <w:t>19</w:t>
            </w:r>
          </w:p>
        </w:tc>
        <w:tc>
          <w:tcPr>
            <w:tcW w:w="1689" w:type="dxa"/>
          </w:tcPr>
          <w:p w:rsidR="00A1646C" w:rsidRPr="00B65BDD" w:rsidRDefault="00A1646C" w:rsidP="00EF4349">
            <w:pPr>
              <w:rPr>
                <w:sz w:val="18"/>
                <w:szCs w:val="18"/>
              </w:rPr>
            </w:pPr>
            <w:r w:rsidRPr="00B65BDD">
              <w:t>3</w:t>
            </w:r>
          </w:p>
        </w:tc>
        <w:tc>
          <w:tcPr>
            <w:tcW w:w="1547" w:type="dxa"/>
          </w:tcPr>
          <w:p w:rsidR="00A1646C" w:rsidRPr="00B65BDD" w:rsidRDefault="009571C2" w:rsidP="00EF4349">
            <w:r>
              <w:t>4 mews houses</w:t>
            </w:r>
          </w:p>
        </w:tc>
      </w:tr>
    </w:tbl>
    <w:p w:rsidR="00A25C93" w:rsidRPr="00BC0D46" w:rsidRDefault="00A25C93" w:rsidP="00754E93">
      <w:pPr>
        <w:spacing w:line="276" w:lineRule="auto"/>
        <w:rPr>
          <w:rFonts w:eastAsia="Calibri" w:cs="Arial"/>
          <w:szCs w:val="24"/>
        </w:rPr>
      </w:pPr>
    </w:p>
    <w:p w:rsidR="00BC0D46" w:rsidRDefault="00754E93" w:rsidP="00024826">
      <w:pPr>
        <w:spacing w:line="276" w:lineRule="auto"/>
        <w:ind w:left="720" w:hanging="720"/>
        <w:rPr>
          <w:rFonts w:eastAsia="Calibri" w:cs="Arial"/>
          <w:szCs w:val="24"/>
        </w:rPr>
      </w:pPr>
      <w:r>
        <w:rPr>
          <w:rFonts w:eastAsia="Calibri" w:cs="Arial"/>
          <w:szCs w:val="24"/>
        </w:rPr>
        <w:t>2.3</w:t>
      </w:r>
      <w:r w:rsidR="00BC0D46" w:rsidRPr="00BC0D46">
        <w:rPr>
          <w:rFonts w:eastAsia="Calibri" w:cs="Arial"/>
          <w:szCs w:val="24"/>
        </w:rPr>
        <w:tab/>
        <w:t xml:space="preserve">The GLA’s London Housing Strategy has a target for Community Led Housing, which is also defined in the London Plan. </w:t>
      </w:r>
      <w:r w:rsidR="00B31434">
        <w:rPr>
          <w:rFonts w:eastAsia="Calibri" w:cs="Arial"/>
          <w:szCs w:val="24"/>
        </w:rPr>
        <w:t xml:space="preserve">The New London Plan, soon to be published, </w:t>
      </w:r>
      <w:r w:rsidR="00484942">
        <w:rPr>
          <w:rFonts w:eastAsia="Calibri" w:cs="Arial"/>
          <w:szCs w:val="24"/>
        </w:rPr>
        <w:t xml:space="preserve">contains </w:t>
      </w:r>
      <w:r w:rsidR="00484942" w:rsidRPr="00B743EE">
        <w:rPr>
          <w:rFonts w:eastAsia="Calibri" w:cs="Arial"/>
          <w:szCs w:val="24"/>
        </w:rPr>
        <w:t>targets</w:t>
      </w:r>
      <w:r w:rsidR="00B31434" w:rsidRPr="00B743EE">
        <w:rPr>
          <w:rFonts w:eastAsia="Calibri" w:cs="Arial"/>
          <w:szCs w:val="24"/>
        </w:rPr>
        <w:t xml:space="preserve"> (2019/20 -2028/29) for net housing completions on small sites (below 0.25 hectares in size). The average annual target for Harrow is 375 homes, which this project will contribute towards meeting. </w:t>
      </w:r>
      <w:r w:rsidR="00BC0D46" w:rsidRPr="00BC0D46">
        <w:rPr>
          <w:rFonts w:eastAsia="Calibri" w:cs="Arial"/>
          <w:szCs w:val="24"/>
        </w:rPr>
        <w:t xml:space="preserve">The GLA also has a Community Housing Fund providing revenue and capital funding to support such schemes.  The GLA aims to make more small publicly-owned sites available to </w:t>
      </w:r>
      <w:r w:rsidR="00024826">
        <w:rPr>
          <w:rFonts w:eastAsia="Calibri" w:cs="Arial"/>
          <w:szCs w:val="24"/>
        </w:rPr>
        <w:t>community</w:t>
      </w:r>
      <w:r w:rsidR="00BC0D46" w:rsidRPr="00BC0D46">
        <w:rPr>
          <w:rFonts w:eastAsia="Calibri" w:cs="Arial"/>
          <w:szCs w:val="24"/>
        </w:rPr>
        <w:t xml:space="preserve"> groups through this funding so they can play a bigger role in building the homes they need.</w:t>
      </w:r>
    </w:p>
    <w:p w:rsidR="00F73E84" w:rsidRPr="00BC0D46" w:rsidRDefault="00F73E84" w:rsidP="00024826">
      <w:pPr>
        <w:spacing w:line="276" w:lineRule="auto"/>
        <w:ind w:left="720" w:hanging="720"/>
        <w:rPr>
          <w:rFonts w:eastAsia="Calibri" w:cs="Arial"/>
          <w:szCs w:val="24"/>
        </w:rPr>
      </w:pPr>
      <w:r>
        <w:rPr>
          <w:rFonts w:eastAsia="Calibri" w:cs="Arial"/>
          <w:szCs w:val="24"/>
        </w:rPr>
        <w:tab/>
      </w:r>
    </w:p>
    <w:p w:rsidR="003E1778" w:rsidRDefault="00754E93" w:rsidP="00BC0D46">
      <w:pPr>
        <w:spacing w:after="200" w:line="276" w:lineRule="auto"/>
        <w:ind w:left="720" w:hanging="720"/>
        <w:rPr>
          <w:rFonts w:eastAsia="Calibri" w:cs="Arial"/>
          <w:szCs w:val="24"/>
        </w:rPr>
      </w:pPr>
      <w:r>
        <w:rPr>
          <w:rFonts w:eastAsia="Calibri" w:cs="Arial"/>
          <w:szCs w:val="24"/>
        </w:rPr>
        <w:t>2.4</w:t>
      </w:r>
      <w:r w:rsidR="00BC0D46" w:rsidRPr="00BC0D46">
        <w:rPr>
          <w:rFonts w:eastAsia="Calibri" w:cs="Arial"/>
          <w:szCs w:val="24"/>
        </w:rPr>
        <w:tab/>
        <w:t xml:space="preserve">In 2017, the Government granted a small amount of funding for local authorities to use as seed money to work on Community Led Housing projects. The Council ran workshops about Community Led Housing </w:t>
      </w:r>
      <w:r w:rsidR="005F02AD">
        <w:rPr>
          <w:rFonts w:eastAsia="Calibri" w:cs="Arial"/>
          <w:szCs w:val="24"/>
        </w:rPr>
        <w:t>and invited residents and community representatives to attend.</w:t>
      </w:r>
      <w:r w:rsidR="006733C6">
        <w:rPr>
          <w:rFonts w:eastAsia="Calibri" w:cs="Arial"/>
          <w:szCs w:val="24"/>
        </w:rPr>
        <w:t xml:space="preserve"> </w:t>
      </w:r>
      <w:r w:rsidR="00BC0D46" w:rsidRPr="00BC0D46">
        <w:rPr>
          <w:rFonts w:eastAsia="Calibri" w:cs="Arial"/>
          <w:szCs w:val="24"/>
        </w:rPr>
        <w:t xml:space="preserve"> The benefits of the initiative were identified and the </w:t>
      </w:r>
      <w:r w:rsidR="00154BBD">
        <w:rPr>
          <w:rFonts w:eastAsia="Calibri" w:cs="Arial"/>
          <w:szCs w:val="24"/>
        </w:rPr>
        <w:t xml:space="preserve">potential </w:t>
      </w:r>
      <w:r w:rsidR="00BC0D46" w:rsidRPr="00BC0D46">
        <w:rPr>
          <w:rFonts w:eastAsia="Calibri" w:cs="Arial"/>
          <w:szCs w:val="24"/>
        </w:rPr>
        <w:t xml:space="preserve">available funding was discussed. </w:t>
      </w:r>
    </w:p>
    <w:p w:rsidR="00B72648" w:rsidRDefault="00754E93" w:rsidP="00B72648">
      <w:pPr>
        <w:spacing w:after="200" w:line="276" w:lineRule="auto"/>
        <w:ind w:left="720" w:hanging="720"/>
        <w:rPr>
          <w:rFonts w:eastAsia="Calibri" w:cs="Arial"/>
          <w:szCs w:val="24"/>
        </w:rPr>
      </w:pPr>
      <w:r>
        <w:rPr>
          <w:rFonts w:eastAsia="Calibri" w:cs="Arial"/>
          <w:szCs w:val="24"/>
        </w:rPr>
        <w:t>2.5</w:t>
      </w:r>
      <w:r w:rsidR="00BC0D46" w:rsidRPr="00BC0D46">
        <w:rPr>
          <w:rFonts w:eastAsia="Calibri" w:cs="Arial"/>
          <w:szCs w:val="24"/>
        </w:rPr>
        <w:tab/>
        <w:t>This project aims to enable community groups to take the lead and use these parcels of HRA land which are uneconomical for the Council to develop, to deliver homes that meet their own housing needs, thus providing a beneficial use of the land.</w:t>
      </w:r>
    </w:p>
    <w:p w:rsidR="00B72648" w:rsidRDefault="00B72648" w:rsidP="00B72648">
      <w:pPr>
        <w:spacing w:after="200" w:line="276" w:lineRule="auto"/>
        <w:ind w:left="720" w:hanging="720"/>
        <w:rPr>
          <w:rFonts w:eastAsia="Calibri" w:cs="Arial"/>
          <w:szCs w:val="24"/>
        </w:rPr>
      </w:pPr>
      <w:r>
        <w:rPr>
          <w:rFonts w:eastAsia="Calibri" w:cs="Arial"/>
          <w:szCs w:val="24"/>
        </w:rPr>
        <w:t xml:space="preserve">2.6      </w:t>
      </w:r>
      <w:r w:rsidRPr="00B72648">
        <w:rPr>
          <w:rFonts w:eastAsia="Calibri" w:cs="Arial"/>
          <w:szCs w:val="24"/>
        </w:rPr>
        <w:t>Community-led housing can include co-operatives, co-housing, and community land trusts. Schemes</w:t>
      </w:r>
      <w:r w:rsidR="009571C2">
        <w:rPr>
          <w:rFonts w:eastAsia="Calibri" w:cs="Arial"/>
          <w:szCs w:val="24"/>
        </w:rPr>
        <w:t xml:space="preserve"> might be developed by Harrow residents</w:t>
      </w:r>
      <w:r w:rsidRPr="00B72648">
        <w:rPr>
          <w:rFonts w:eastAsia="Calibri" w:cs="Arial"/>
          <w:szCs w:val="24"/>
        </w:rPr>
        <w:t xml:space="preserve"> who:</w:t>
      </w:r>
      <w:r w:rsidRPr="00B72648">
        <w:rPr>
          <w:rFonts w:eastAsia="Calibri" w:cs="Arial"/>
          <w:szCs w:val="24"/>
        </w:rPr>
        <w:br/>
        <w:t>- wish to live together as part of a specific self-defined community</w:t>
      </w:r>
      <w:r w:rsidRPr="00B72648">
        <w:rPr>
          <w:rFonts w:eastAsia="Calibri" w:cs="Arial"/>
          <w:szCs w:val="24"/>
        </w:rPr>
        <w:br/>
        <w:t xml:space="preserve">- wish to have more control over how homes are managed </w:t>
      </w:r>
      <w:r w:rsidRPr="00B72648">
        <w:rPr>
          <w:rFonts w:eastAsia="Calibri" w:cs="Arial"/>
          <w:szCs w:val="24"/>
        </w:rPr>
        <w:br/>
        <w:t>- or to ensure that the community retains a financial st</w:t>
      </w:r>
      <w:r>
        <w:rPr>
          <w:rFonts w:eastAsia="Calibri" w:cs="Arial"/>
          <w:szCs w:val="24"/>
        </w:rPr>
        <w:t xml:space="preserve">ake in the homes and land </w:t>
      </w:r>
    </w:p>
    <w:p w:rsidR="00B72648" w:rsidRPr="00B72648" w:rsidRDefault="00B72648" w:rsidP="00B743EE">
      <w:pPr>
        <w:spacing w:line="276" w:lineRule="auto"/>
        <w:rPr>
          <w:rFonts w:eastAsia="Calibri" w:cs="Arial"/>
          <w:szCs w:val="24"/>
        </w:rPr>
      </w:pPr>
      <w:r>
        <w:rPr>
          <w:rFonts w:eastAsia="Calibri" w:cs="Arial"/>
          <w:szCs w:val="24"/>
        </w:rPr>
        <w:t xml:space="preserve">2.7      </w:t>
      </w:r>
      <w:r w:rsidRPr="00B72648">
        <w:rPr>
          <w:rFonts w:eastAsia="Calibri" w:cs="Arial"/>
          <w:szCs w:val="24"/>
        </w:rPr>
        <w:t>Although the legal form and activities of each community-led housing scheme</w:t>
      </w:r>
    </w:p>
    <w:p w:rsidR="00B72648" w:rsidRPr="00B72648" w:rsidRDefault="00BF4AFB" w:rsidP="00B72648">
      <w:pPr>
        <w:spacing w:line="276" w:lineRule="auto"/>
        <w:ind w:left="720"/>
        <w:rPr>
          <w:rFonts w:eastAsia="Calibri" w:cs="Arial"/>
          <w:szCs w:val="24"/>
        </w:rPr>
      </w:pPr>
      <w:r w:rsidRPr="00B72648">
        <w:rPr>
          <w:rFonts w:eastAsia="Calibri" w:cs="Arial"/>
          <w:szCs w:val="24"/>
        </w:rPr>
        <w:t>D</w:t>
      </w:r>
      <w:r w:rsidR="00B72648" w:rsidRPr="00B72648">
        <w:rPr>
          <w:rFonts w:eastAsia="Calibri" w:cs="Arial"/>
          <w:szCs w:val="24"/>
        </w:rPr>
        <w:t>iffer</w:t>
      </w:r>
      <w:r>
        <w:rPr>
          <w:rFonts w:eastAsia="Calibri" w:cs="Arial"/>
          <w:szCs w:val="24"/>
        </w:rPr>
        <w:t>,</w:t>
      </w:r>
      <w:r w:rsidR="00F1222D">
        <w:rPr>
          <w:rFonts w:eastAsia="Calibri" w:cs="Arial"/>
          <w:szCs w:val="24"/>
        </w:rPr>
        <w:t xml:space="preserve"> </w:t>
      </w:r>
      <w:r w:rsidR="00B72648" w:rsidRPr="00B72648">
        <w:rPr>
          <w:rFonts w:eastAsia="Calibri" w:cs="Arial"/>
          <w:szCs w:val="24"/>
        </w:rPr>
        <w:t>schemes that are genuinely community-led all share three common</w:t>
      </w:r>
    </w:p>
    <w:p w:rsidR="00B72648" w:rsidRPr="00B72648" w:rsidRDefault="00B72648" w:rsidP="00B72648">
      <w:pPr>
        <w:spacing w:line="276" w:lineRule="auto"/>
        <w:ind w:left="720"/>
        <w:rPr>
          <w:rFonts w:eastAsia="Calibri" w:cs="Arial"/>
          <w:szCs w:val="24"/>
        </w:rPr>
      </w:pPr>
      <w:r>
        <w:rPr>
          <w:rFonts w:eastAsia="Calibri" w:cs="Arial"/>
          <w:szCs w:val="24"/>
        </w:rPr>
        <w:t xml:space="preserve">principles. </w:t>
      </w:r>
    </w:p>
    <w:p w:rsidR="00B72648" w:rsidRPr="00B743EE" w:rsidRDefault="00B72648" w:rsidP="00B743EE">
      <w:pPr>
        <w:pStyle w:val="ListParagraph"/>
        <w:numPr>
          <w:ilvl w:val="0"/>
          <w:numId w:val="34"/>
        </w:numPr>
        <w:spacing w:line="276" w:lineRule="auto"/>
        <w:rPr>
          <w:rFonts w:eastAsia="Calibri" w:cs="Arial"/>
          <w:szCs w:val="24"/>
        </w:rPr>
      </w:pPr>
      <w:r w:rsidRPr="00B743EE">
        <w:rPr>
          <w:rFonts w:eastAsia="Calibri" w:cs="Arial"/>
          <w:szCs w:val="24"/>
        </w:rPr>
        <w:t>meaningful community engagement and consent occurs throughout the</w:t>
      </w:r>
    </w:p>
    <w:p w:rsidR="00B72648" w:rsidRPr="00B72648" w:rsidRDefault="00B72648" w:rsidP="00B743EE">
      <w:pPr>
        <w:spacing w:line="276" w:lineRule="auto"/>
        <w:ind w:left="720" w:firstLine="720"/>
        <w:rPr>
          <w:rFonts w:eastAsia="Calibri" w:cs="Arial"/>
          <w:szCs w:val="24"/>
        </w:rPr>
      </w:pPr>
      <w:r w:rsidRPr="00B72648">
        <w:rPr>
          <w:rFonts w:eastAsia="Calibri" w:cs="Arial"/>
          <w:szCs w:val="24"/>
        </w:rPr>
        <w:t>development process. Communities do not necessarily have to initiate the</w:t>
      </w:r>
    </w:p>
    <w:p w:rsidR="00B72648" w:rsidRPr="00B72648" w:rsidRDefault="00B72648" w:rsidP="00B743EE">
      <w:pPr>
        <w:spacing w:line="276" w:lineRule="auto"/>
        <w:ind w:left="720" w:firstLine="720"/>
        <w:rPr>
          <w:rFonts w:eastAsia="Calibri" w:cs="Arial"/>
          <w:szCs w:val="24"/>
        </w:rPr>
      </w:pPr>
      <w:r w:rsidRPr="00B72648">
        <w:rPr>
          <w:rFonts w:eastAsia="Calibri" w:cs="Arial"/>
          <w:szCs w:val="24"/>
        </w:rPr>
        <w:t>conversation, or build homes themselves;</w:t>
      </w:r>
    </w:p>
    <w:p w:rsidR="00B72648" w:rsidRPr="00B743EE" w:rsidRDefault="00B72648" w:rsidP="00B743EE">
      <w:pPr>
        <w:pStyle w:val="ListParagraph"/>
        <w:numPr>
          <w:ilvl w:val="0"/>
          <w:numId w:val="34"/>
        </w:numPr>
        <w:spacing w:line="276" w:lineRule="auto"/>
        <w:rPr>
          <w:rFonts w:eastAsia="Calibri" w:cs="Arial"/>
          <w:szCs w:val="24"/>
        </w:rPr>
      </w:pPr>
      <w:r w:rsidRPr="00B743EE">
        <w:rPr>
          <w:rFonts w:eastAsia="Calibri" w:cs="Arial"/>
          <w:szCs w:val="24"/>
        </w:rPr>
        <w:t>there is a presumption that the community group or organisation will take a</w:t>
      </w:r>
    </w:p>
    <w:p w:rsidR="00B72648" w:rsidRPr="00B72648" w:rsidRDefault="00484942" w:rsidP="00B743EE">
      <w:pPr>
        <w:spacing w:line="276" w:lineRule="auto"/>
        <w:ind w:left="720" w:firstLine="720"/>
        <w:rPr>
          <w:rFonts w:eastAsia="Calibri" w:cs="Arial"/>
          <w:szCs w:val="24"/>
        </w:rPr>
      </w:pPr>
      <w:r>
        <w:rPr>
          <w:rFonts w:eastAsia="Calibri" w:cs="Arial"/>
          <w:szCs w:val="24"/>
        </w:rPr>
        <w:t>l</w:t>
      </w:r>
      <w:r w:rsidRPr="00B72648">
        <w:rPr>
          <w:rFonts w:eastAsia="Calibri" w:cs="Arial"/>
          <w:szCs w:val="24"/>
        </w:rPr>
        <w:t>ong-term</w:t>
      </w:r>
      <w:r w:rsidR="00B72648" w:rsidRPr="00B72648">
        <w:rPr>
          <w:rFonts w:eastAsia="Calibri" w:cs="Arial"/>
          <w:szCs w:val="24"/>
        </w:rPr>
        <w:t xml:space="preserve"> formal role in the ownership, stewardship, or management of the</w:t>
      </w:r>
    </w:p>
    <w:p w:rsidR="00B72648" w:rsidRPr="00B72648" w:rsidRDefault="00B72648" w:rsidP="00B743EE">
      <w:pPr>
        <w:spacing w:line="276" w:lineRule="auto"/>
        <w:ind w:left="720" w:firstLine="720"/>
        <w:rPr>
          <w:rFonts w:eastAsia="Calibri" w:cs="Arial"/>
          <w:szCs w:val="24"/>
        </w:rPr>
      </w:pPr>
      <w:r w:rsidRPr="00B72648">
        <w:rPr>
          <w:rFonts w:eastAsia="Calibri" w:cs="Arial"/>
          <w:szCs w:val="24"/>
        </w:rPr>
        <w:t>homes; and</w:t>
      </w:r>
    </w:p>
    <w:p w:rsidR="00B72648" w:rsidRPr="00B743EE" w:rsidRDefault="00B72648" w:rsidP="00B743EE">
      <w:pPr>
        <w:pStyle w:val="ListParagraph"/>
        <w:numPr>
          <w:ilvl w:val="0"/>
          <w:numId w:val="33"/>
        </w:numPr>
        <w:spacing w:line="276" w:lineRule="auto"/>
        <w:rPr>
          <w:rFonts w:eastAsia="Calibri" w:cs="Arial"/>
          <w:szCs w:val="24"/>
        </w:rPr>
      </w:pPr>
      <w:r w:rsidRPr="00B743EE">
        <w:rPr>
          <w:rFonts w:eastAsia="Calibri" w:cs="Arial"/>
          <w:szCs w:val="24"/>
        </w:rPr>
        <w:t>the benefits of the scheme to the local area and/or specified community</w:t>
      </w:r>
    </w:p>
    <w:p w:rsidR="00B72648" w:rsidRDefault="00B72648" w:rsidP="00E953B9">
      <w:pPr>
        <w:spacing w:line="276" w:lineRule="auto"/>
        <w:ind w:left="720" w:firstLine="720"/>
        <w:rPr>
          <w:rFonts w:eastAsia="Calibri" w:cs="Arial"/>
          <w:szCs w:val="24"/>
        </w:rPr>
      </w:pPr>
      <w:r w:rsidRPr="00B72648">
        <w:rPr>
          <w:rFonts w:eastAsia="Calibri" w:cs="Arial"/>
          <w:szCs w:val="24"/>
        </w:rPr>
        <w:t xml:space="preserve">group are clearly defined and </w:t>
      </w:r>
      <w:r>
        <w:rPr>
          <w:rFonts w:eastAsia="Calibri" w:cs="Arial"/>
          <w:szCs w:val="24"/>
        </w:rPr>
        <w:t>legally protected in perpetuity.</w:t>
      </w:r>
    </w:p>
    <w:p w:rsidR="00945AB0" w:rsidRDefault="00945AB0" w:rsidP="00E953B9">
      <w:pPr>
        <w:spacing w:line="276" w:lineRule="auto"/>
        <w:ind w:left="720" w:firstLine="720"/>
        <w:rPr>
          <w:rFonts w:eastAsia="Calibri" w:cs="Arial"/>
          <w:szCs w:val="24"/>
        </w:rPr>
      </w:pPr>
    </w:p>
    <w:p w:rsidR="00B72648" w:rsidRPr="00BC0D46" w:rsidRDefault="00B72648" w:rsidP="00B72648">
      <w:pPr>
        <w:spacing w:line="276" w:lineRule="auto"/>
        <w:ind w:left="720"/>
        <w:rPr>
          <w:rFonts w:eastAsia="Calibri" w:cs="Arial"/>
          <w:szCs w:val="24"/>
        </w:rPr>
      </w:pPr>
    </w:p>
    <w:p w:rsidR="00BC0D46" w:rsidRPr="00BC0D46" w:rsidRDefault="00154BBD" w:rsidP="00BC0D46">
      <w:pPr>
        <w:spacing w:after="200" w:line="276" w:lineRule="auto"/>
        <w:rPr>
          <w:rFonts w:eastAsia="Calibri" w:cs="Arial"/>
          <w:szCs w:val="24"/>
        </w:rPr>
      </w:pPr>
      <w:r>
        <w:rPr>
          <w:rFonts w:eastAsia="Calibri" w:cs="Arial"/>
          <w:szCs w:val="24"/>
        </w:rPr>
        <w:lastRenderedPageBreak/>
        <w:t>2.</w:t>
      </w:r>
      <w:r w:rsidR="009571C2">
        <w:rPr>
          <w:rFonts w:eastAsia="Calibri" w:cs="Arial"/>
          <w:szCs w:val="24"/>
        </w:rPr>
        <w:t>8</w:t>
      </w:r>
      <w:r w:rsidR="00BC0D46" w:rsidRPr="00BC0D46">
        <w:rPr>
          <w:rFonts w:eastAsia="Calibri" w:cs="Arial"/>
          <w:szCs w:val="24"/>
        </w:rPr>
        <w:tab/>
        <w:t>The following possible benefits of a CLH scheme are:</w:t>
      </w:r>
    </w:p>
    <w:p w:rsidR="00BC0D46" w:rsidRPr="00BC0D46" w:rsidRDefault="00BC0D46" w:rsidP="00BC0D46">
      <w:pPr>
        <w:numPr>
          <w:ilvl w:val="0"/>
          <w:numId w:val="28"/>
        </w:numPr>
        <w:spacing w:after="200" w:line="276" w:lineRule="auto"/>
        <w:contextualSpacing/>
        <w:rPr>
          <w:rFonts w:eastAsia="Calibri" w:cs="Arial"/>
          <w:szCs w:val="24"/>
        </w:rPr>
      </w:pPr>
      <w:r w:rsidRPr="00BC0D46">
        <w:rPr>
          <w:rFonts w:eastAsia="Calibri" w:cs="Arial"/>
          <w:szCs w:val="24"/>
        </w:rPr>
        <w:t>greater diversity of housing delivery, alongside private developers or housing associations;</w:t>
      </w:r>
    </w:p>
    <w:p w:rsidR="00BC0D46" w:rsidRPr="00BC0D46" w:rsidRDefault="00BC0D46" w:rsidP="00BC0D46">
      <w:pPr>
        <w:numPr>
          <w:ilvl w:val="0"/>
          <w:numId w:val="28"/>
        </w:numPr>
        <w:spacing w:after="200" w:line="276" w:lineRule="auto"/>
        <w:contextualSpacing/>
        <w:rPr>
          <w:rFonts w:eastAsia="Calibri" w:cs="Arial"/>
          <w:szCs w:val="24"/>
        </w:rPr>
      </w:pPr>
      <w:r w:rsidRPr="00BC0D46">
        <w:rPr>
          <w:rFonts w:eastAsia="Calibri" w:cs="Arial"/>
          <w:szCs w:val="24"/>
        </w:rPr>
        <w:t>increased housing supply,</w:t>
      </w:r>
      <w:r w:rsidR="00B8729D">
        <w:rPr>
          <w:rFonts w:eastAsia="Calibri" w:cs="Arial"/>
          <w:szCs w:val="24"/>
        </w:rPr>
        <w:t xml:space="preserve"> </w:t>
      </w:r>
      <w:r w:rsidRPr="00BC0D46">
        <w:rPr>
          <w:rFonts w:eastAsia="Calibri" w:cs="Arial"/>
          <w:szCs w:val="24"/>
        </w:rPr>
        <w:t>subject to planning policy</w:t>
      </w:r>
      <w:r w:rsidR="00B8729D">
        <w:rPr>
          <w:rFonts w:eastAsia="Calibri" w:cs="Arial"/>
          <w:szCs w:val="24"/>
        </w:rPr>
        <w:t>,</w:t>
      </w:r>
      <w:r w:rsidRPr="00BC0D46">
        <w:rPr>
          <w:rFonts w:eastAsia="Calibri" w:cs="Arial"/>
          <w:szCs w:val="24"/>
        </w:rPr>
        <w:t xml:space="preserve"> or unlock</w:t>
      </w:r>
      <w:r w:rsidR="00D36B73">
        <w:rPr>
          <w:rFonts w:eastAsia="Calibri" w:cs="Arial"/>
          <w:szCs w:val="24"/>
        </w:rPr>
        <w:t>ing of</w:t>
      </w:r>
      <w:r w:rsidRPr="00BC0D46">
        <w:rPr>
          <w:rFonts w:eastAsia="Calibri" w:cs="Arial"/>
          <w:szCs w:val="24"/>
        </w:rPr>
        <w:t xml:space="preserve"> sites that may otherwise be difficult to develop;</w:t>
      </w:r>
    </w:p>
    <w:p w:rsidR="00BC0D46" w:rsidRPr="00BC0D46" w:rsidRDefault="00BC0D46" w:rsidP="00BC0D46">
      <w:pPr>
        <w:numPr>
          <w:ilvl w:val="0"/>
          <w:numId w:val="28"/>
        </w:numPr>
        <w:spacing w:after="200" w:line="276" w:lineRule="auto"/>
        <w:contextualSpacing/>
        <w:rPr>
          <w:rFonts w:eastAsia="Calibri" w:cs="Arial"/>
          <w:szCs w:val="24"/>
        </w:rPr>
      </w:pPr>
      <w:r w:rsidRPr="00BC0D46">
        <w:rPr>
          <w:rFonts w:eastAsia="Calibri" w:cs="Arial"/>
          <w:szCs w:val="24"/>
        </w:rPr>
        <w:t>a greater sense of ownership and a more stable and supportive environment, as residents get to know each other, remain in, and care for the area, contributing to healthier and happier places;</w:t>
      </w:r>
    </w:p>
    <w:p w:rsidR="00BC0D46" w:rsidRPr="00BC0D46" w:rsidRDefault="00BC0D46" w:rsidP="00BC0D46">
      <w:pPr>
        <w:numPr>
          <w:ilvl w:val="0"/>
          <w:numId w:val="28"/>
        </w:numPr>
        <w:spacing w:after="200" w:line="276" w:lineRule="auto"/>
        <w:contextualSpacing/>
        <w:rPr>
          <w:rFonts w:eastAsia="Calibri" w:cs="Arial"/>
          <w:szCs w:val="24"/>
        </w:rPr>
      </w:pPr>
      <w:r w:rsidRPr="00BC0D46">
        <w:rPr>
          <w:rFonts w:eastAsia="Calibri" w:cs="Arial"/>
          <w:szCs w:val="24"/>
        </w:rPr>
        <w:t>increased confidence and empowerment for residents, with influence over their housing and realis</w:t>
      </w:r>
      <w:r w:rsidR="00B8729D">
        <w:rPr>
          <w:rFonts w:eastAsia="Calibri" w:cs="Arial"/>
          <w:szCs w:val="24"/>
        </w:rPr>
        <w:t>ation of</w:t>
      </w:r>
      <w:r w:rsidRPr="00BC0D46">
        <w:rPr>
          <w:rFonts w:eastAsia="Calibri" w:cs="Arial"/>
          <w:szCs w:val="24"/>
        </w:rPr>
        <w:t xml:space="preserve"> a common endeavour;</w:t>
      </w:r>
    </w:p>
    <w:p w:rsidR="00BC0D46" w:rsidRDefault="00BC0D46" w:rsidP="00BC0D46">
      <w:pPr>
        <w:numPr>
          <w:ilvl w:val="0"/>
          <w:numId w:val="28"/>
        </w:numPr>
        <w:spacing w:after="200" w:line="276" w:lineRule="auto"/>
        <w:contextualSpacing/>
        <w:rPr>
          <w:rFonts w:eastAsia="Calibri" w:cs="Arial"/>
          <w:szCs w:val="24"/>
        </w:rPr>
      </w:pPr>
      <w:r w:rsidRPr="00BC0D46">
        <w:rPr>
          <w:rFonts w:eastAsia="Calibri" w:cs="Arial"/>
          <w:szCs w:val="24"/>
        </w:rPr>
        <w:t>a unique understanding of what works for a particular site or particular group of people.</w:t>
      </w:r>
    </w:p>
    <w:p w:rsidR="00262DAB" w:rsidRPr="00BC0D46" w:rsidRDefault="00262DAB" w:rsidP="00262DAB">
      <w:pPr>
        <w:spacing w:after="200" w:line="276" w:lineRule="auto"/>
        <w:ind w:left="1080"/>
        <w:contextualSpacing/>
        <w:rPr>
          <w:rFonts w:eastAsia="Calibri" w:cs="Arial"/>
          <w:szCs w:val="24"/>
        </w:rPr>
      </w:pPr>
    </w:p>
    <w:p w:rsidR="00BC0D46" w:rsidRPr="00BC0D46" w:rsidRDefault="00754E93" w:rsidP="00754E93">
      <w:pPr>
        <w:spacing w:after="200" w:line="276" w:lineRule="auto"/>
        <w:ind w:left="720" w:hanging="720"/>
        <w:rPr>
          <w:rFonts w:eastAsia="Calibri" w:cs="Arial"/>
          <w:szCs w:val="24"/>
        </w:rPr>
      </w:pPr>
      <w:r>
        <w:rPr>
          <w:rFonts w:eastAsia="Calibri" w:cs="Arial"/>
          <w:szCs w:val="24"/>
        </w:rPr>
        <w:t>2.</w:t>
      </w:r>
      <w:r w:rsidR="009571C2">
        <w:rPr>
          <w:rFonts w:eastAsia="Calibri" w:cs="Arial"/>
          <w:szCs w:val="24"/>
        </w:rPr>
        <w:t>9</w:t>
      </w:r>
      <w:r w:rsidR="00BC0D46" w:rsidRPr="00BC0D46">
        <w:rPr>
          <w:rFonts w:eastAsia="Calibri" w:cs="Arial"/>
          <w:szCs w:val="24"/>
        </w:rPr>
        <w:tab/>
        <w:t xml:space="preserve">Following </w:t>
      </w:r>
      <w:r w:rsidR="00D36B73">
        <w:rPr>
          <w:rFonts w:eastAsia="Calibri" w:cs="Arial"/>
          <w:szCs w:val="24"/>
        </w:rPr>
        <w:t xml:space="preserve">the initial workshops and a </w:t>
      </w:r>
      <w:r>
        <w:rPr>
          <w:rFonts w:eastAsia="Calibri" w:cs="Arial"/>
          <w:szCs w:val="24"/>
        </w:rPr>
        <w:t xml:space="preserve">subsequent </w:t>
      </w:r>
      <w:r w:rsidRPr="00BC0D46">
        <w:rPr>
          <w:rFonts w:eastAsia="Calibri" w:cs="Arial"/>
          <w:szCs w:val="24"/>
        </w:rPr>
        <w:t>bid</w:t>
      </w:r>
      <w:r>
        <w:rPr>
          <w:rFonts w:eastAsia="Calibri" w:cs="Arial"/>
          <w:szCs w:val="24"/>
        </w:rPr>
        <w:t xml:space="preserve"> process, two community groups </w:t>
      </w:r>
      <w:r w:rsidR="00BC0D46" w:rsidRPr="00BC0D46">
        <w:rPr>
          <w:rFonts w:eastAsia="Calibri" w:cs="Arial"/>
          <w:szCs w:val="24"/>
        </w:rPr>
        <w:t xml:space="preserve">were successful in obtaining grant funds from the Council to produce some feasibility work, looking at the supply of housing for their respective communities. </w:t>
      </w:r>
    </w:p>
    <w:p w:rsidR="00BF7DBA" w:rsidRDefault="00754E93" w:rsidP="00BC0D46">
      <w:pPr>
        <w:spacing w:after="200" w:line="276" w:lineRule="auto"/>
        <w:ind w:left="720" w:hanging="720"/>
        <w:rPr>
          <w:rFonts w:eastAsia="Calibri" w:cs="Arial"/>
          <w:szCs w:val="24"/>
        </w:rPr>
      </w:pPr>
      <w:r>
        <w:rPr>
          <w:rFonts w:eastAsia="Calibri" w:cs="Arial"/>
          <w:szCs w:val="24"/>
        </w:rPr>
        <w:t>2.</w:t>
      </w:r>
      <w:r w:rsidR="009571C2">
        <w:rPr>
          <w:rFonts w:eastAsia="Calibri" w:cs="Arial"/>
          <w:szCs w:val="24"/>
        </w:rPr>
        <w:t>10</w:t>
      </w:r>
      <w:r w:rsidR="00BC0D46" w:rsidRPr="00BC0D46">
        <w:rPr>
          <w:rFonts w:eastAsia="Calibri" w:cs="Arial"/>
          <w:szCs w:val="24"/>
        </w:rPr>
        <w:tab/>
        <w:t xml:space="preserve">These </w:t>
      </w:r>
      <w:r w:rsidR="00024826">
        <w:rPr>
          <w:rFonts w:eastAsia="Calibri" w:cs="Arial"/>
          <w:szCs w:val="24"/>
        </w:rPr>
        <w:t>two</w:t>
      </w:r>
      <w:r w:rsidR="00BC0D46" w:rsidRPr="00BC0D46">
        <w:rPr>
          <w:rFonts w:eastAsia="Calibri" w:cs="Arial"/>
          <w:szCs w:val="24"/>
        </w:rPr>
        <w:t xml:space="preserve"> groups are </w:t>
      </w:r>
      <w:r w:rsidR="00D36B73">
        <w:rPr>
          <w:rFonts w:eastAsia="Calibri" w:cs="Arial"/>
          <w:szCs w:val="24"/>
        </w:rPr>
        <w:t xml:space="preserve">currently </w:t>
      </w:r>
      <w:r w:rsidR="00BC0D46" w:rsidRPr="00BC0D46">
        <w:rPr>
          <w:rFonts w:eastAsia="Calibri" w:cs="Arial"/>
          <w:szCs w:val="24"/>
        </w:rPr>
        <w:t xml:space="preserve">building up their proposals for </w:t>
      </w:r>
      <w:r w:rsidR="00024826">
        <w:rPr>
          <w:rFonts w:eastAsia="Calibri" w:cs="Arial"/>
          <w:szCs w:val="24"/>
        </w:rPr>
        <w:t xml:space="preserve">Community Led Housing </w:t>
      </w:r>
      <w:r w:rsidR="00BC0D46" w:rsidRPr="00BC0D46">
        <w:rPr>
          <w:rFonts w:eastAsia="Calibri" w:cs="Arial"/>
          <w:szCs w:val="24"/>
        </w:rPr>
        <w:t xml:space="preserve">schemes, based on the </w:t>
      </w:r>
      <w:r w:rsidR="00D36B73">
        <w:rPr>
          <w:rFonts w:eastAsia="Calibri" w:cs="Arial"/>
          <w:szCs w:val="24"/>
        </w:rPr>
        <w:t xml:space="preserve">potential </w:t>
      </w:r>
      <w:r w:rsidR="00BC0D46" w:rsidRPr="00BC0D46">
        <w:rPr>
          <w:rFonts w:eastAsia="Calibri" w:cs="Arial"/>
          <w:szCs w:val="24"/>
        </w:rPr>
        <w:t xml:space="preserve">future disposal of up to </w:t>
      </w:r>
      <w:r w:rsidR="00A41329">
        <w:rPr>
          <w:rFonts w:eastAsia="Calibri" w:cs="Arial"/>
          <w:szCs w:val="24"/>
        </w:rPr>
        <w:t>5</w:t>
      </w:r>
      <w:r w:rsidR="00BC0D46" w:rsidRPr="00BC0D46">
        <w:rPr>
          <w:rFonts w:eastAsia="Calibri" w:cs="Arial"/>
          <w:szCs w:val="24"/>
        </w:rPr>
        <w:t xml:space="preserve"> HRA own</w:t>
      </w:r>
      <w:r>
        <w:rPr>
          <w:rFonts w:eastAsia="Calibri" w:cs="Arial"/>
          <w:szCs w:val="24"/>
        </w:rPr>
        <w:t>ed small sites, identified above</w:t>
      </w:r>
      <w:r w:rsidR="00BC0D46" w:rsidRPr="00BC0D46">
        <w:rPr>
          <w:rFonts w:eastAsia="Calibri" w:cs="Arial"/>
          <w:szCs w:val="24"/>
        </w:rPr>
        <w:t xml:space="preserve"> and in red edging in Appendix A, which the council does not intend to develop itself. </w:t>
      </w:r>
      <w:r w:rsidR="003E1778">
        <w:rPr>
          <w:rFonts w:eastAsia="Calibri" w:cs="Arial"/>
          <w:szCs w:val="24"/>
        </w:rPr>
        <w:t>C</w:t>
      </w:r>
      <w:r w:rsidR="00024826">
        <w:rPr>
          <w:rFonts w:eastAsia="Calibri" w:cs="Arial"/>
          <w:szCs w:val="24"/>
        </w:rPr>
        <w:t>ommunity Led Housing</w:t>
      </w:r>
      <w:r w:rsidR="003E1778">
        <w:rPr>
          <w:rFonts w:eastAsia="Calibri" w:cs="Arial"/>
          <w:szCs w:val="24"/>
        </w:rPr>
        <w:t xml:space="preserve"> groups will</w:t>
      </w:r>
      <w:r w:rsidR="00BC0D46" w:rsidRPr="00BC0D46">
        <w:rPr>
          <w:rFonts w:eastAsia="Calibri" w:cs="Arial"/>
          <w:szCs w:val="24"/>
        </w:rPr>
        <w:t xml:space="preserve"> use a combination of GLA funding and private borrowing to finance their schemes; no direct Council funding is being sought.  </w:t>
      </w:r>
      <w:r w:rsidR="003E1778">
        <w:rPr>
          <w:rFonts w:eastAsia="Calibri" w:cs="Arial"/>
          <w:szCs w:val="24"/>
        </w:rPr>
        <w:t xml:space="preserve">To allow the scheme to be viable, the groups will assume </w:t>
      </w:r>
      <w:r w:rsidR="00BC0D46" w:rsidRPr="00BC0D46">
        <w:rPr>
          <w:rFonts w:eastAsia="Calibri" w:cs="Arial"/>
          <w:szCs w:val="24"/>
        </w:rPr>
        <w:t xml:space="preserve">the land will be made available at less than market value. </w:t>
      </w:r>
    </w:p>
    <w:p w:rsidR="000E5D06" w:rsidRDefault="000E5D06" w:rsidP="00BC0D46">
      <w:pPr>
        <w:spacing w:after="200" w:line="276" w:lineRule="auto"/>
        <w:ind w:left="720" w:hanging="720"/>
        <w:rPr>
          <w:rFonts w:eastAsia="Calibri" w:cs="Arial"/>
          <w:szCs w:val="24"/>
        </w:rPr>
      </w:pPr>
      <w:r>
        <w:rPr>
          <w:rFonts w:eastAsia="Calibri" w:cs="Arial"/>
          <w:szCs w:val="24"/>
        </w:rPr>
        <w:t>2.</w:t>
      </w:r>
      <w:r w:rsidR="009571C2">
        <w:rPr>
          <w:rFonts w:eastAsia="Calibri" w:cs="Arial"/>
          <w:szCs w:val="24"/>
        </w:rPr>
        <w:t>11</w:t>
      </w:r>
      <w:r>
        <w:rPr>
          <w:rFonts w:eastAsia="Calibri" w:cs="Arial"/>
          <w:szCs w:val="24"/>
        </w:rPr>
        <w:t xml:space="preserve"> </w:t>
      </w:r>
      <w:r>
        <w:rPr>
          <w:rFonts w:eastAsia="Calibri" w:cs="Arial"/>
          <w:szCs w:val="24"/>
        </w:rPr>
        <w:tab/>
      </w:r>
      <w:r w:rsidRPr="00BC0D46">
        <w:rPr>
          <w:rFonts w:eastAsia="Calibri" w:cs="Arial"/>
          <w:szCs w:val="24"/>
        </w:rPr>
        <w:t xml:space="preserve">The GLA have </w:t>
      </w:r>
      <w:r w:rsidR="003A1FD6">
        <w:rPr>
          <w:rFonts w:eastAsia="Calibri" w:cs="Arial"/>
          <w:szCs w:val="24"/>
        </w:rPr>
        <w:t>established</w:t>
      </w:r>
      <w:r w:rsidR="003A1FD6" w:rsidRPr="00BC0D46">
        <w:rPr>
          <w:rFonts w:eastAsia="Calibri" w:cs="Arial"/>
          <w:szCs w:val="24"/>
        </w:rPr>
        <w:t xml:space="preserve"> </w:t>
      </w:r>
      <w:r w:rsidRPr="00BC0D46">
        <w:rPr>
          <w:rFonts w:eastAsia="Calibri" w:cs="Arial"/>
          <w:szCs w:val="24"/>
        </w:rPr>
        <w:t>the London Community Led Housing Hub</w:t>
      </w:r>
      <w:r>
        <w:rPr>
          <w:rFonts w:eastAsia="Calibri" w:cs="Arial"/>
          <w:szCs w:val="24"/>
        </w:rPr>
        <w:t xml:space="preserve"> </w:t>
      </w:r>
      <w:r w:rsidR="003A1FD6">
        <w:rPr>
          <w:rFonts w:eastAsia="Calibri" w:cs="Arial"/>
          <w:szCs w:val="24"/>
        </w:rPr>
        <w:t xml:space="preserve">to </w:t>
      </w:r>
      <w:r>
        <w:rPr>
          <w:rFonts w:eastAsia="Calibri" w:cs="Arial"/>
          <w:szCs w:val="24"/>
        </w:rPr>
        <w:t>support</w:t>
      </w:r>
      <w:r w:rsidRPr="00BC0D46">
        <w:rPr>
          <w:rFonts w:eastAsia="Calibri" w:cs="Arial"/>
          <w:szCs w:val="24"/>
        </w:rPr>
        <w:t xml:space="preserve"> </w:t>
      </w:r>
      <w:r>
        <w:rPr>
          <w:rFonts w:eastAsia="Calibri" w:cs="Arial"/>
          <w:szCs w:val="24"/>
        </w:rPr>
        <w:t xml:space="preserve">community </w:t>
      </w:r>
      <w:r w:rsidRPr="00BC0D46">
        <w:rPr>
          <w:rFonts w:eastAsia="Calibri" w:cs="Arial"/>
          <w:szCs w:val="24"/>
        </w:rPr>
        <w:t xml:space="preserve">projects </w:t>
      </w:r>
      <w:r w:rsidR="003A1FD6">
        <w:rPr>
          <w:rFonts w:eastAsia="Calibri" w:cs="Arial"/>
          <w:szCs w:val="24"/>
        </w:rPr>
        <w:t xml:space="preserve">at an early stage </w:t>
      </w:r>
      <w:r w:rsidRPr="00BC0D46">
        <w:rPr>
          <w:rFonts w:eastAsia="Calibri" w:cs="Arial"/>
          <w:szCs w:val="24"/>
        </w:rPr>
        <w:t>to develop their capacity</w:t>
      </w:r>
      <w:r>
        <w:rPr>
          <w:rFonts w:eastAsia="Calibri" w:cs="Arial"/>
          <w:szCs w:val="24"/>
        </w:rPr>
        <w:t>, develop their business plans</w:t>
      </w:r>
      <w:r w:rsidRPr="00BC0D46">
        <w:rPr>
          <w:rFonts w:eastAsia="Calibri" w:cs="Arial"/>
          <w:szCs w:val="24"/>
        </w:rPr>
        <w:t xml:space="preserve"> and progress their Project Plans (including detailed support and advice on their Financial, Legal, Development Planning etc. and relevant funding streams). There has been engagement between the Hub and the Housing de</w:t>
      </w:r>
      <w:r w:rsidR="002C2A57">
        <w:rPr>
          <w:rFonts w:eastAsia="Calibri" w:cs="Arial"/>
          <w:szCs w:val="24"/>
        </w:rPr>
        <w:t xml:space="preserve">partment to further support Community Led Housing </w:t>
      </w:r>
      <w:r w:rsidR="002C2A57" w:rsidRPr="00BC0D46">
        <w:rPr>
          <w:rFonts w:eastAsia="Calibri" w:cs="Arial"/>
          <w:szCs w:val="24"/>
        </w:rPr>
        <w:t>projects</w:t>
      </w:r>
      <w:r w:rsidRPr="00BC0D46">
        <w:rPr>
          <w:rFonts w:eastAsia="Calibri" w:cs="Arial"/>
          <w:szCs w:val="24"/>
        </w:rPr>
        <w:t>, although no council funding is required.</w:t>
      </w:r>
      <w:r>
        <w:rPr>
          <w:rFonts w:eastAsia="Calibri" w:cs="Arial"/>
          <w:szCs w:val="24"/>
        </w:rPr>
        <w:t xml:space="preserve">  In addition, groups will be supported by the </w:t>
      </w:r>
      <w:r w:rsidR="002C2A57">
        <w:rPr>
          <w:rFonts w:eastAsia="Calibri" w:cs="Arial"/>
          <w:szCs w:val="24"/>
        </w:rPr>
        <w:t>Hub to</w:t>
      </w:r>
      <w:r>
        <w:rPr>
          <w:rFonts w:eastAsia="Calibri" w:cs="Arial"/>
          <w:szCs w:val="24"/>
        </w:rPr>
        <w:t xml:space="preserve"> put in place robust governance and constitutional arrangements</w:t>
      </w:r>
      <w:r w:rsidRPr="00D60BD5">
        <w:rPr>
          <w:rFonts w:cs="Arial"/>
          <w:szCs w:val="24"/>
        </w:rPr>
        <w:t xml:space="preserve">.  </w:t>
      </w:r>
      <w:r>
        <w:rPr>
          <w:rFonts w:eastAsia="Calibri" w:cs="Arial"/>
          <w:szCs w:val="24"/>
        </w:rPr>
        <w:t>These arrangements will be review</w:t>
      </w:r>
      <w:r w:rsidR="002C2A57">
        <w:rPr>
          <w:rFonts w:eastAsia="Calibri" w:cs="Arial"/>
          <w:szCs w:val="24"/>
        </w:rPr>
        <w:t>ed by the council, as well as</w:t>
      </w:r>
      <w:r>
        <w:rPr>
          <w:rFonts w:eastAsia="Calibri" w:cs="Arial"/>
          <w:szCs w:val="24"/>
        </w:rPr>
        <w:t xml:space="preserve"> the GLA, prior to any disposal. </w:t>
      </w:r>
      <w:r>
        <w:rPr>
          <w:rFonts w:cs="Arial"/>
          <w:szCs w:val="24"/>
        </w:rPr>
        <w:t>The</w:t>
      </w:r>
      <w:r w:rsidRPr="00D60BD5">
        <w:rPr>
          <w:rFonts w:cs="Arial"/>
          <w:szCs w:val="24"/>
        </w:rPr>
        <w:t xml:space="preserve"> </w:t>
      </w:r>
      <w:r>
        <w:rPr>
          <w:rFonts w:cs="Arial"/>
          <w:szCs w:val="24"/>
        </w:rPr>
        <w:t xml:space="preserve">organisational </w:t>
      </w:r>
      <w:r w:rsidRPr="00D60BD5">
        <w:rPr>
          <w:rFonts w:cs="Arial"/>
          <w:szCs w:val="24"/>
        </w:rPr>
        <w:t>structures will</w:t>
      </w:r>
      <w:r>
        <w:rPr>
          <w:rFonts w:cs="Arial"/>
          <w:szCs w:val="24"/>
        </w:rPr>
        <w:t xml:space="preserve"> be required to</w:t>
      </w:r>
      <w:r w:rsidRPr="00D60BD5">
        <w:rPr>
          <w:rFonts w:cs="Arial"/>
          <w:szCs w:val="24"/>
        </w:rPr>
        <w:t xml:space="preserve"> have strong community/resident involvement. This makes for a robust community led scheme</w:t>
      </w:r>
    </w:p>
    <w:p w:rsidR="00BC0D46" w:rsidRPr="00BC0D46" w:rsidRDefault="00ED3770" w:rsidP="00754E93">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2</w:t>
      </w:r>
      <w:r w:rsidR="0077176B">
        <w:rPr>
          <w:rFonts w:eastAsia="Calibri" w:cs="Arial"/>
          <w:szCs w:val="24"/>
        </w:rPr>
        <w:t xml:space="preserve">    </w:t>
      </w:r>
      <w:r w:rsidR="00024826">
        <w:rPr>
          <w:rFonts w:eastAsia="Calibri" w:cs="Arial"/>
          <w:szCs w:val="24"/>
        </w:rPr>
        <w:t>Once in principle approval to dispose of these sites for Community Led Housing is in place, t</w:t>
      </w:r>
      <w:r w:rsidR="00BC0D46" w:rsidRPr="00BC0D46">
        <w:rPr>
          <w:rFonts w:eastAsia="Calibri" w:cs="Arial"/>
          <w:szCs w:val="24"/>
        </w:rPr>
        <w:t xml:space="preserve">he GLA can provide revenue funding to the groups to take forward detailed designs and pre planning application advice in preparation for </w:t>
      </w:r>
      <w:r w:rsidR="005F02AD">
        <w:rPr>
          <w:rFonts w:eastAsia="Calibri" w:cs="Arial"/>
          <w:szCs w:val="24"/>
        </w:rPr>
        <w:t xml:space="preserve">consulting with the community and then </w:t>
      </w:r>
      <w:r w:rsidR="00BC0D46" w:rsidRPr="00BC0D46">
        <w:rPr>
          <w:rFonts w:eastAsia="Calibri" w:cs="Arial"/>
          <w:szCs w:val="24"/>
        </w:rPr>
        <w:t>submitting planning applications.</w:t>
      </w:r>
      <w:r w:rsidR="00024826">
        <w:rPr>
          <w:rFonts w:eastAsia="Calibri" w:cs="Arial"/>
          <w:szCs w:val="24"/>
        </w:rPr>
        <w:t xml:space="preserve"> The groups can also bid for capital funding from the GLA which, together with borrowing, will fund the build programme.</w:t>
      </w:r>
      <w:r w:rsidR="00BC0D46" w:rsidRPr="00BC0D46">
        <w:rPr>
          <w:rFonts w:eastAsia="Calibri" w:cs="Arial"/>
          <w:szCs w:val="24"/>
        </w:rPr>
        <w:t xml:space="preserve"> </w:t>
      </w:r>
      <w:r w:rsidR="00CB5ACF">
        <w:rPr>
          <w:rFonts w:eastAsia="Calibri" w:cs="Arial"/>
          <w:szCs w:val="24"/>
        </w:rPr>
        <w:t>Community Led housing</w:t>
      </w:r>
      <w:r w:rsidR="00CB5ACF" w:rsidRPr="00BC0D46">
        <w:rPr>
          <w:rFonts w:eastAsia="Calibri" w:cs="Arial"/>
          <w:szCs w:val="24"/>
        </w:rPr>
        <w:t xml:space="preserve"> schemes would be built at no cost to the council apart from the sale of the land at less than market value</w:t>
      </w:r>
    </w:p>
    <w:p w:rsidR="00CB5ACF" w:rsidRDefault="00ED3770" w:rsidP="00BC125E">
      <w:pPr>
        <w:spacing w:line="276" w:lineRule="auto"/>
        <w:ind w:left="720" w:hanging="720"/>
        <w:rPr>
          <w:rFonts w:eastAsia="Calibri" w:cs="Arial"/>
          <w:szCs w:val="24"/>
        </w:rPr>
      </w:pPr>
      <w:r>
        <w:rPr>
          <w:rFonts w:eastAsia="Calibri" w:cs="Arial"/>
          <w:szCs w:val="24"/>
        </w:rPr>
        <w:t>2.1</w:t>
      </w:r>
      <w:r w:rsidR="009571C2">
        <w:rPr>
          <w:rFonts w:eastAsia="Calibri" w:cs="Arial"/>
          <w:szCs w:val="24"/>
        </w:rPr>
        <w:t>3</w:t>
      </w:r>
      <w:r w:rsidR="00BC0D46" w:rsidRPr="00BC0D46">
        <w:rPr>
          <w:rFonts w:eastAsia="Calibri" w:cs="Arial"/>
          <w:szCs w:val="24"/>
        </w:rPr>
        <w:tab/>
        <w:t xml:space="preserve">The table in Appendix B gives an approximate estimate of the impact on revenue and capital accounts of the four </w:t>
      </w:r>
      <w:r w:rsidR="00CB5ACF">
        <w:rPr>
          <w:rFonts w:eastAsia="Calibri" w:cs="Arial"/>
          <w:szCs w:val="24"/>
        </w:rPr>
        <w:t>d</w:t>
      </w:r>
      <w:r w:rsidR="00BC0D46" w:rsidRPr="00BC0D46">
        <w:rPr>
          <w:rFonts w:eastAsia="Calibri" w:cs="Arial"/>
          <w:szCs w:val="24"/>
        </w:rPr>
        <w:t xml:space="preserve">isposal options for these sites. </w:t>
      </w:r>
      <w:r w:rsidR="00CB5ACF" w:rsidRPr="00BC0D46">
        <w:rPr>
          <w:rFonts w:eastAsia="Calibri" w:cs="Arial"/>
          <w:szCs w:val="24"/>
        </w:rPr>
        <w:t xml:space="preserve">It is not possible at </w:t>
      </w:r>
      <w:r w:rsidR="00CB5ACF" w:rsidRPr="00BC0D46">
        <w:rPr>
          <w:rFonts w:eastAsia="Calibri" w:cs="Arial"/>
          <w:szCs w:val="24"/>
        </w:rPr>
        <w:lastRenderedPageBreak/>
        <w:t>this stage to estimate the level of any potential capital receipt as this is dependent on GLA fun</w:t>
      </w:r>
      <w:r w:rsidR="000E5D06">
        <w:rPr>
          <w:rFonts w:eastAsia="Calibri" w:cs="Arial"/>
          <w:szCs w:val="24"/>
        </w:rPr>
        <w:t>ding being made available to Community Led Housing</w:t>
      </w:r>
      <w:r w:rsidR="00CB5ACF" w:rsidRPr="00BC0D46">
        <w:rPr>
          <w:rFonts w:eastAsia="Calibri" w:cs="Arial"/>
          <w:szCs w:val="24"/>
        </w:rPr>
        <w:t xml:space="preserve"> groups for land acquisition.  Valuations would be undertaken once the results of the due diligence investigations were known</w:t>
      </w:r>
      <w:r w:rsidR="000E5D06">
        <w:rPr>
          <w:rFonts w:eastAsia="Calibri" w:cs="Arial"/>
          <w:szCs w:val="24"/>
        </w:rPr>
        <w:t>.</w:t>
      </w:r>
    </w:p>
    <w:p w:rsidR="00CB5ACF" w:rsidRDefault="00CB5ACF" w:rsidP="00BC125E">
      <w:pPr>
        <w:spacing w:line="276" w:lineRule="auto"/>
        <w:ind w:left="720" w:hanging="720"/>
        <w:rPr>
          <w:rFonts w:eastAsia="Calibri" w:cs="Arial"/>
          <w:szCs w:val="24"/>
        </w:rPr>
      </w:pPr>
    </w:p>
    <w:p w:rsidR="00BC125E" w:rsidRDefault="00ED3770" w:rsidP="000E5D06">
      <w:pPr>
        <w:spacing w:line="276" w:lineRule="auto"/>
        <w:ind w:left="720" w:hanging="720"/>
        <w:rPr>
          <w:rFonts w:eastAsia="Calibri" w:cs="Arial"/>
          <w:szCs w:val="24"/>
        </w:rPr>
      </w:pPr>
      <w:r>
        <w:rPr>
          <w:rFonts w:eastAsia="Calibri" w:cs="Arial"/>
          <w:szCs w:val="24"/>
        </w:rPr>
        <w:t>2.1</w:t>
      </w:r>
      <w:r w:rsidR="009571C2">
        <w:rPr>
          <w:rFonts w:eastAsia="Calibri" w:cs="Arial"/>
          <w:szCs w:val="24"/>
        </w:rPr>
        <w:t>4</w:t>
      </w:r>
      <w:r w:rsidR="00CB5ACF">
        <w:rPr>
          <w:rFonts w:eastAsia="Calibri" w:cs="Arial"/>
          <w:szCs w:val="24"/>
        </w:rPr>
        <w:tab/>
      </w:r>
      <w:r w:rsidR="00BC125E" w:rsidRPr="00BC125E">
        <w:rPr>
          <w:rFonts w:eastAsia="Calibri" w:cs="Arial"/>
          <w:szCs w:val="24"/>
        </w:rPr>
        <w:t>The</w:t>
      </w:r>
      <w:r w:rsidR="00AA3F2C">
        <w:rPr>
          <w:rFonts w:eastAsia="Calibri" w:cs="Arial"/>
          <w:szCs w:val="24"/>
        </w:rPr>
        <w:t>re</w:t>
      </w:r>
      <w:r w:rsidR="00BC125E" w:rsidRPr="00BC125E">
        <w:rPr>
          <w:rFonts w:eastAsia="Calibri" w:cs="Arial"/>
          <w:szCs w:val="24"/>
        </w:rPr>
        <w:t xml:space="preserve"> are a total of 3</w:t>
      </w:r>
      <w:r w:rsidR="00E953B9">
        <w:rPr>
          <w:rFonts w:eastAsia="Calibri" w:cs="Arial"/>
          <w:szCs w:val="24"/>
        </w:rPr>
        <w:t>6</w:t>
      </w:r>
      <w:r w:rsidR="00BC125E" w:rsidRPr="00BC125E">
        <w:rPr>
          <w:rFonts w:eastAsia="Calibri" w:cs="Arial"/>
          <w:szCs w:val="24"/>
        </w:rPr>
        <w:t xml:space="preserve"> garage</w:t>
      </w:r>
      <w:r w:rsidR="00CB5ACF">
        <w:rPr>
          <w:rFonts w:eastAsia="Calibri" w:cs="Arial"/>
          <w:szCs w:val="24"/>
        </w:rPr>
        <w:t>s</w:t>
      </w:r>
      <w:r w:rsidR="00BC125E" w:rsidRPr="00BC125E">
        <w:rPr>
          <w:rFonts w:eastAsia="Calibri" w:cs="Arial"/>
          <w:szCs w:val="24"/>
        </w:rPr>
        <w:t xml:space="preserve"> present across three of the sites (Amy Johnson Court, Westbere Drive and Ellement Close).  Only 1</w:t>
      </w:r>
      <w:r w:rsidR="00E953B9">
        <w:rPr>
          <w:rFonts w:eastAsia="Calibri" w:cs="Arial"/>
          <w:szCs w:val="24"/>
        </w:rPr>
        <w:t>1</w:t>
      </w:r>
      <w:r w:rsidR="00BC125E" w:rsidRPr="00BC125E">
        <w:rPr>
          <w:rFonts w:eastAsia="Calibri" w:cs="Arial"/>
          <w:szCs w:val="24"/>
        </w:rPr>
        <w:t xml:space="preserve"> of them are currently occupied.</w:t>
      </w:r>
      <w:r w:rsidR="000E5D06">
        <w:rPr>
          <w:rFonts w:eastAsia="Calibri" w:cs="Arial"/>
          <w:szCs w:val="24"/>
        </w:rPr>
        <w:t xml:space="preserve">  </w:t>
      </w:r>
      <w:r w:rsidR="00BC125E" w:rsidRPr="00BC125E">
        <w:rPr>
          <w:rFonts w:eastAsia="Calibri" w:cs="Arial"/>
          <w:szCs w:val="24"/>
        </w:rPr>
        <w:t xml:space="preserve">There are 6 </w:t>
      </w:r>
      <w:r w:rsidR="000750D3">
        <w:rPr>
          <w:rFonts w:eastAsia="Calibri" w:cs="Arial"/>
          <w:szCs w:val="24"/>
        </w:rPr>
        <w:t xml:space="preserve">out of 15 </w:t>
      </w:r>
      <w:r w:rsidR="00BC125E" w:rsidRPr="00BC125E">
        <w:rPr>
          <w:rFonts w:eastAsia="Calibri" w:cs="Arial"/>
          <w:szCs w:val="24"/>
        </w:rPr>
        <w:t xml:space="preserve">garages occupied at Amy Johnson Court; 2 are </w:t>
      </w:r>
      <w:r w:rsidR="000750D3">
        <w:rPr>
          <w:rFonts w:eastAsia="Calibri" w:cs="Arial"/>
          <w:szCs w:val="24"/>
        </w:rPr>
        <w:t>l</w:t>
      </w:r>
      <w:r w:rsidR="00BC125E" w:rsidRPr="00BC125E">
        <w:rPr>
          <w:rFonts w:eastAsia="Calibri" w:cs="Arial"/>
          <w:szCs w:val="24"/>
        </w:rPr>
        <w:t>et to people living within the estate, 1 to someone living on an adjacent street and 2 to people living in the general vicinity but not in the surrounding streets.  The remaining garage i</w:t>
      </w:r>
      <w:r w:rsidR="000E5D06">
        <w:rPr>
          <w:rFonts w:eastAsia="Calibri" w:cs="Arial"/>
          <w:szCs w:val="24"/>
        </w:rPr>
        <w:t>s occupied by Housing Services. Of the 19 garages at Westbere Drive, t</w:t>
      </w:r>
      <w:r w:rsidR="00BC125E" w:rsidRPr="00BC125E">
        <w:rPr>
          <w:rFonts w:eastAsia="Calibri" w:cs="Arial"/>
          <w:szCs w:val="24"/>
        </w:rPr>
        <w:t xml:space="preserve">wo of the 3 </w:t>
      </w:r>
      <w:r w:rsidR="000E5D06">
        <w:rPr>
          <w:rFonts w:eastAsia="Calibri" w:cs="Arial"/>
          <w:szCs w:val="24"/>
        </w:rPr>
        <w:t>let garages</w:t>
      </w:r>
      <w:r w:rsidR="00BC125E" w:rsidRPr="00BC125E">
        <w:rPr>
          <w:rFonts w:eastAsia="Calibri" w:cs="Arial"/>
          <w:szCs w:val="24"/>
        </w:rPr>
        <w:t xml:space="preserve"> are occupied by the same person living a few roads away and the third garage is let to someone living out of the area (Burnt Oak/Edgware).  The </w:t>
      </w:r>
      <w:r w:rsidR="00E953B9">
        <w:rPr>
          <w:rFonts w:eastAsia="Calibri" w:cs="Arial"/>
          <w:szCs w:val="24"/>
        </w:rPr>
        <w:t xml:space="preserve">2 </w:t>
      </w:r>
      <w:r w:rsidR="00BC125E" w:rsidRPr="00BC125E">
        <w:rPr>
          <w:rFonts w:eastAsia="Calibri" w:cs="Arial"/>
          <w:szCs w:val="24"/>
        </w:rPr>
        <w:t>garage</w:t>
      </w:r>
      <w:r w:rsidR="00E953B9">
        <w:rPr>
          <w:rFonts w:eastAsia="Calibri" w:cs="Arial"/>
          <w:szCs w:val="24"/>
        </w:rPr>
        <w:t>s</w:t>
      </w:r>
      <w:r w:rsidR="00BC125E" w:rsidRPr="00BC125E">
        <w:rPr>
          <w:rFonts w:eastAsia="Calibri" w:cs="Arial"/>
          <w:szCs w:val="24"/>
        </w:rPr>
        <w:t xml:space="preserve"> at Ellement Close </w:t>
      </w:r>
      <w:r w:rsidR="00E953B9">
        <w:rPr>
          <w:rFonts w:eastAsia="Calibri" w:cs="Arial"/>
          <w:szCs w:val="24"/>
        </w:rPr>
        <w:t>are</w:t>
      </w:r>
      <w:r w:rsidR="00BC125E" w:rsidRPr="00BC125E">
        <w:rPr>
          <w:rFonts w:eastAsia="Calibri" w:cs="Arial"/>
          <w:szCs w:val="24"/>
        </w:rPr>
        <w:t xml:space="preserve"> </w:t>
      </w:r>
      <w:r w:rsidR="000750D3">
        <w:rPr>
          <w:rFonts w:eastAsia="Calibri" w:cs="Arial"/>
          <w:szCs w:val="24"/>
        </w:rPr>
        <w:t>l</w:t>
      </w:r>
      <w:r w:rsidR="00BC125E" w:rsidRPr="00BC125E">
        <w:rPr>
          <w:rFonts w:eastAsia="Calibri" w:cs="Arial"/>
          <w:szCs w:val="24"/>
        </w:rPr>
        <w:t xml:space="preserve">et </w:t>
      </w:r>
      <w:r w:rsidR="000750D3">
        <w:rPr>
          <w:rFonts w:eastAsia="Calibri" w:cs="Arial"/>
          <w:szCs w:val="24"/>
        </w:rPr>
        <w:t xml:space="preserve">to </w:t>
      </w:r>
      <w:r w:rsidR="00BC125E" w:rsidRPr="00BC125E">
        <w:rPr>
          <w:rFonts w:eastAsia="Calibri" w:cs="Arial"/>
          <w:szCs w:val="24"/>
        </w:rPr>
        <w:t>someone living on the estate</w:t>
      </w:r>
    </w:p>
    <w:p w:rsidR="0061365C" w:rsidRPr="00BC0D46" w:rsidRDefault="0061365C" w:rsidP="000E5D06">
      <w:pPr>
        <w:spacing w:line="276" w:lineRule="auto"/>
        <w:rPr>
          <w:rFonts w:eastAsia="Calibri" w:cs="Arial"/>
          <w:szCs w:val="24"/>
        </w:rPr>
      </w:pPr>
    </w:p>
    <w:p w:rsidR="00012E32" w:rsidRPr="00BC0D46" w:rsidRDefault="00ED3770" w:rsidP="000E5D06">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5</w:t>
      </w:r>
      <w:r w:rsidR="00BC0D46" w:rsidRPr="00BC0D46">
        <w:rPr>
          <w:rFonts w:eastAsia="Calibri" w:cs="Arial"/>
          <w:szCs w:val="24"/>
        </w:rPr>
        <w:tab/>
        <w:t xml:space="preserve">The Disposal of the sites would be subject to the relevant community groups satisfying the Council’s requirements such as </w:t>
      </w:r>
      <w:r w:rsidR="005F02AD">
        <w:rPr>
          <w:rFonts w:eastAsia="Calibri" w:cs="Arial"/>
          <w:szCs w:val="24"/>
        </w:rPr>
        <w:t xml:space="preserve">consulting with the local community, </w:t>
      </w:r>
      <w:r w:rsidR="00BC0D46" w:rsidRPr="00BC0D46">
        <w:rPr>
          <w:rFonts w:eastAsia="Calibri" w:cs="Arial"/>
          <w:szCs w:val="24"/>
        </w:rPr>
        <w:t xml:space="preserve">securing Planning approval, Legal considerations and appropriate funding arrangements being in place.  </w:t>
      </w:r>
    </w:p>
    <w:p w:rsidR="00BC0D46" w:rsidRPr="00BC0D46" w:rsidRDefault="00ED3770" w:rsidP="0077176B">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6</w:t>
      </w:r>
      <w:r w:rsidR="00BC0D46" w:rsidRPr="00BC0D46">
        <w:rPr>
          <w:rFonts w:eastAsia="Calibri" w:cs="Arial"/>
          <w:szCs w:val="24"/>
        </w:rPr>
        <w:tab/>
      </w:r>
      <w:r w:rsidR="00BF7DBA">
        <w:rPr>
          <w:rFonts w:eastAsia="Calibri" w:cs="Arial"/>
          <w:szCs w:val="24"/>
        </w:rPr>
        <w:t>C</w:t>
      </w:r>
      <w:r w:rsidR="00CB5ACF">
        <w:rPr>
          <w:rFonts w:eastAsia="Calibri" w:cs="Arial"/>
          <w:szCs w:val="24"/>
        </w:rPr>
        <w:t>ommunity Led Housing groups would</w:t>
      </w:r>
      <w:r w:rsidR="00BC0D46" w:rsidRPr="00BC0D46">
        <w:rPr>
          <w:rFonts w:eastAsia="Calibri" w:cs="Arial"/>
          <w:szCs w:val="24"/>
        </w:rPr>
        <w:t xml:space="preserve"> nominate people to the</w:t>
      </w:r>
      <w:r w:rsidR="00BF4AFB">
        <w:rPr>
          <w:rFonts w:eastAsia="Calibri" w:cs="Arial"/>
          <w:szCs w:val="24"/>
        </w:rPr>
        <w:t xml:space="preserve"> new homes</w:t>
      </w:r>
      <w:r w:rsidR="000626AA">
        <w:rPr>
          <w:rFonts w:eastAsia="Calibri" w:cs="Arial"/>
          <w:szCs w:val="24"/>
        </w:rPr>
        <w:t>.</w:t>
      </w:r>
      <w:r w:rsidR="00CB5ACF">
        <w:rPr>
          <w:rFonts w:eastAsia="Calibri" w:cs="Arial"/>
          <w:szCs w:val="24"/>
        </w:rPr>
        <w:t xml:space="preserve"> The</w:t>
      </w:r>
      <w:r w:rsidR="00BC0D46" w:rsidRPr="00BC0D46">
        <w:rPr>
          <w:rFonts w:eastAsia="Calibri" w:cs="Arial"/>
          <w:szCs w:val="24"/>
        </w:rPr>
        <w:t xml:space="preserve"> council will not receive any nominations unless they have void issues</w:t>
      </w:r>
      <w:r w:rsidR="000E5D06">
        <w:rPr>
          <w:rFonts w:eastAsia="Calibri" w:cs="Arial"/>
          <w:szCs w:val="24"/>
        </w:rPr>
        <w:t>,</w:t>
      </w:r>
      <w:r w:rsidR="00BC0D46" w:rsidRPr="00BC0D46">
        <w:rPr>
          <w:rFonts w:eastAsia="Calibri" w:cs="Arial"/>
          <w:szCs w:val="24"/>
        </w:rPr>
        <w:t xml:space="preserve"> in which case the Council could seek to negotiate to use some of the </w:t>
      </w:r>
      <w:r w:rsidR="00BF4AFB">
        <w:rPr>
          <w:rFonts w:eastAsia="Calibri" w:cs="Arial"/>
          <w:szCs w:val="24"/>
        </w:rPr>
        <w:t>homes</w:t>
      </w:r>
      <w:r w:rsidR="00BC0D46" w:rsidRPr="00BC0D46">
        <w:rPr>
          <w:rFonts w:eastAsia="Calibri" w:cs="Arial"/>
          <w:szCs w:val="24"/>
        </w:rPr>
        <w:t xml:space="preserve"> for its </w:t>
      </w:r>
      <w:r w:rsidR="00CB5ACF">
        <w:rPr>
          <w:rFonts w:eastAsia="Calibri" w:cs="Arial"/>
          <w:szCs w:val="24"/>
        </w:rPr>
        <w:t xml:space="preserve">own </w:t>
      </w:r>
      <w:r w:rsidR="000E5D06">
        <w:rPr>
          <w:rFonts w:eastAsia="Calibri" w:cs="Arial"/>
          <w:szCs w:val="24"/>
        </w:rPr>
        <w:t>nominees</w:t>
      </w:r>
      <w:r w:rsidR="003A1FD6">
        <w:rPr>
          <w:rFonts w:eastAsia="Calibri" w:cs="Arial"/>
          <w:szCs w:val="24"/>
        </w:rPr>
        <w:t>.</w:t>
      </w:r>
    </w:p>
    <w:p w:rsidR="00BC0D46" w:rsidRPr="00BC0D46" w:rsidRDefault="00754E93" w:rsidP="00BC0D46">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7</w:t>
      </w:r>
      <w:r w:rsidR="002C2A57">
        <w:rPr>
          <w:rFonts w:eastAsia="Calibri" w:cs="Arial"/>
          <w:szCs w:val="24"/>
        </w:rPr>
        <w:tab/>
        <w:t>Subject to Cabinet’s approval</w:t>
      </w:r>
      <w:r w:rsidR="00BF7DBA">
        <w:rPr>
          <w:rFonts w:eastAsia="Calibri" w:cs="Arial"/>
          <w:szCs w:val="24"/>
        </w:rPr>
        <w:t xml:space="preserve"> in principle</w:t>
      </w:r>
      <w:r w:rsidR="00BC0D46" w:rsidRPr="00BC0D46">
        <w:rPr>
          <w:rFonts w:eastAsia="Calibri" w:cs="Arial"/>
          <w:szCs w:val="24"/>
        </w:rPr>
        <w:t xml:space="preserve"> to dispose of the HRA sites, the Community groups will be required to conduct early engagement with Planning to confirm capacity of the sites due to their constraints</w:t>
      </w:r>
      <w:r w:rsidR="002D35E7">
        <w:rPr>
          <w:rFonts w:eastAsia="Calibri" w:cs="Arial"/>
          <w:szCs w:val="24"/>
        </w:rPr>
        <w:t xml:space="preserve">. </w:t>
      </w:r>
      <w:r w:rsidR="001A4D42">
        <w:rPr>
          <w:rFonts w:eastAsia="Calibri" w:cs="Arial"/>
          <w:szCs w:val="24"/>
        </w:rPr>
        <w:t>The current estimation of capacity over all the sites, based on Planning comments</w:t>
      </w:r>
      <w:r w:rsidR="006D520D">
        <w:rPr>
          <w:rFonts w:eastAsia="Calibri" w:cs="Arial"/>
          <w:szCs w:val="24"/>
        </w:rPr>
        <w:t>,</w:t>
      </w:r>
      <w:r w:rsidR="001A4D42">
        <w:rPr>
          <w:rFonts w:eastAsia="Calibri" w:cs="Arial"/>
          <w:szCs w:val="24"/>
        </w:rPr>
        <w:t xml:space="preserve"> </w:t>
      </w:r>
      <w:r w:rsidR="00484942">
        <w:rPr>
          <w:rFonts w:eastAsia="Calibri" w:cs="Arial"/>
          <w:szCs w:val="24"/>
        </w:rPr>
        <w:t>is 1</w:t>
      </w:r>
      <w:r w:rsidR="005F309A">
        <w:rPr>
          <w:rFonts w:eastAsia="Calibri" w:cs="Arial"/>
          <w:szCs w:val="24"/>
        </w:rPr>
        <w:t>1</w:t>
      </w:r>
      <w:r w:rsidR="00D51A76">
        <w:rPr>
          <w:rFonts w:eastAsia="Calibri" w:cs="Arial"/>
          <w:szCs w:val="24"/>
        </w:rPr>
        <w:t xml:space="preserve"> houses or</w:t>
      </w:r>
      <w:r w:rsidR="00F93DE4">
        <w:rPr>
          <w:rFonts w:eastAsia="Calibri" w:cs="Arial"/>
          <w:szCs w:val="24"/>
        </w:rPr>
        <w:t xml:space="preserve"> 8</w:t>
      </w:r>
      <w:r w:rsidR="001A4D42">
        <w:rPr>
          <w:rFonts w:eastAsia="Calibri" w:cs="Arial"/>
          <w:szCs w:val="24"/>
        </w:rPr>
        <w:t xml:space="preserve"> to </w:t>
      </w:r>
      <w:r w:rsidR="005F309A">
        <w:rPr>
          <w:rFonts w:eastAsia="Calibri" w:cs="Arial"/>
          <w:szCs w:val="24"/>
        </w:rPr>
        <w:t>9</w:t>
      </w:r>
      <w:r w:rsidR="001A4D42">
        <w:rPr>
          <w:rFonts w:eastAsia="Calibri" w:cs="Arial"/>
          <w:szCs w:val="24"/>
        </w:rPr>
        <w:t xml:space="preserve"> flats, altho</w:t>
      </w:r>
      <w:r w:rsidR="006D520D">
        <w:rPr>
          <w:rFonts w:eastAsia="Calibri" w:cs="Arial"/>
          <w:szCs w:val="24"/>
        </w:rPr>
        <w:t xml:space="preserve">ugh this is subject to pre-application advice for individual schemes when they come to the Local Planning Authority. </w:t>
      </w:r>
      <w:r w:rsidR="00484942">
        <w:rPr>
          <w:rFonts w:eastAsia="Calibri" w:cs="Arial"/>
          <w:szCs w:val="24"/>
        </w:rPr>
        <w:t>All sites, including</w:t>
      </w:r>
      <w:r w:rsidR="00B1229C">
        <w:rPr>
          <w:rFonts w:eastAsia="Calibri" w:cs="Arial"/>
          <w:szCs w:val="24"/>
        </w:rPr>
        <w:t xml:space="preserve"> non-garage </w:t>
      </w:r>
      <w:r w:rsidR="005B4E34">
        <w:rPr>
          <w:rFonts w:eastAsia="Calibri" w:cs="Arial"/>
          <w:szCs w:val="24"/>
        </w:rPr>
        <w:t>plots</w:t>
      </w:r>
      <w:r w:rsidR="00B1229C">
        <w:rPr>
          <w:rFonts w:eastAsia="Calibri" w:cs="Arial"/>
          <w:szCs w:val="24"/>
        </w:rPr>
        <w:t xml:space="preserve"> on </w:t>
      </w:r>
      <w:r w:rsidR="00F14A1B">
        <w:rPr>
          <w:rFonts w:eastAsia="Calibri" w:cs="Arial"/>
          <w:szCs w:val="24"/>
        </w:rPr>
        <w:t xml:space="preserve">vacant land / </w:t>
      </w:r>
      <w:r w:rsidR="00B1229C">
        <w:rPr>
          <w:rFonts w:eastAsia="Calibri" w:cs="Arial"/>
          <w:szCs w:val="24"/>
        </w:rPr>
        <w:t>open</w:t>
      </w:r>
      <w:r w:rsidR="005B4E34">
        <w:rPr>
          <w:rFonts w:eastAsia="Calibri" w:cs="Arial"/>
          <w:szCs w:val="24"/>
        </w:rPr>
        <w:t xml:space="preserve"> space</w:t>
      </w:r>
      <w:r w:rsidR="00B1229C">
        <w:rPr>
          <w:rFonts w:eastAsia="Calibri" w:cs="Arial"/>
          <w:szCs w:val="24"/>
        </w:rPr>
        <w:t xml:space="preserve"> land will be </w:t>
      </w:r>
      <w:r w:rsidR="00F14A1B">
        <w:rPr>
          <w:rFonts w:eastAsia="Calibri" w:cs="Arial"/>
          <w:szCs w:val="24"/>
        </w:rPr>
        <w:t>assessed</w:t>
      </w:r>
      <w:r w:rsidR="00B1229C">
        <w:rPr>
          <w:rFonts w:eastAsia="Calibri" w:cs="Arial"/>
          <w:szCs w:val="24"/>
        </w:rPr>
        <w:t xml:space="preserve"> by Planning for their appropriateness for development</w:t>
      </w:r>
      <w:r w:rsidR="00F14A1B">
        <w:rPr>
          <w:rFonts w:eastAsia="Calibri" w:cs="Arial"/>
          <w:szCs w:val="24"/>
        </w:rPr>
        <w:t xml:space="preserve"> during the pre-application </w:t>
      </w:r>
      <w:r w:rsidR="00484942">
        <w:rPr>
          <w:rFonts w:eastAsia="Calibri" w:cs="Arial"/>
          <w:szCs w:val="24"/>
        </w:rPr>
        <w:t>process and</w:t>
      </w:r>
      <w:r w:rsidR="005B4E34">
        <w:rPr>
          <w:rFonts w:eastAsia="Calibri" w:cs="Arial"/>
          <w:szCs w:val="24"/>
        </w:rPr>
        <w:t xml:space="preserve"> views from local residents will also be sought</w:t>
      </w:r>
      <w:r w:rsidR="00F14A1B">
        <w:rPr>
          <w:rFonts w:eastAsia="Calibri" w:cs="Arial"/>
          <w:szCs w:val="24"/>
        </w:rPr>
        <w:t xml:space="preserve"> during the consultation process.</w:t>
      </w:r>
    </w:p>
    <w:p w:rsidR="00333FAA" w:rsidRDefault="00754E93" w:rsidP="00262DAB">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8</w:t>
      </w:r>
      <w:r w:rsidR="00BC0D46" w:rsidRPr="00BC0D46">
        <w:rPr>
          <w:rFonts w:eastAsia="Calibri" w:cs="Arial"/>
          <w:szCs w:val="24"/>
        </w:rPr>
        <w:tab/>
        <w:t xml:space="preserve">Mitigation </w:t>
      </w:r>
      <w:r w:rsidR="00ED3770">
        <w:rPr>
          <w:rFonts w:eastAsia="Calibri" w:cs="Arial"/>
          <w:szCs w:val="24"/>
        </w:rPr>
        <w:t>of risks to the council of a Community Led Housing</w:t>
      </w:r>
      <w:r w:rsidR="00BC0D46" w:rsidRPr="00BC0D46">
        <w:rPr>
          <w:rFonts w:eastAsia="Calibri" w:cs="Arial"/>
          <w:szCs w:val="24"/>
        </w:rPr>
        <w:t xml:space="preserve"> group becoming insolvent or the scheme stalling after disposal has been discussed in the Risk Management section of the report below.</w:t>
      </w:r>
    </w:p>
    <w:p w:rsidR="00A004D3" w:rsidRDefault="00754E93" w:rsidP="000E6936">
      <w:pPr>
        <w:spacing w:after="200" w:line="276" w:lineRule="auto"/>
        <w:ind w:left="720" w:hanging="720"/>
        <w:rPr>
          <w:rFonts w:eastAsia="Calibri" w:cs="Arial"/>
          <w:szCs w:val="24"/>
        </w:rPr>
      </w:pPr>
      <w:r>
        <w:rPr>
          <w:rFonts w:eastAsia="Calibri" w:cs="Arial"/>
          <w:szCs w:val="24"/>
        </w:rPr>
        <w:t>2.1</w:t>
      </w:r>
      <w:r w:rsidR="009571C2">
        <w:rPr>
          <w:rFonts w:eastAsia="Calibri" w:cs="Arial"/>
          <w:szCs w:val="24"/>
        </w:rPr>
        <w:t>9</w:t>
      </w:r>
      <w:r w:rsidR="00A004D3">
        <w:rPr>
          <w:rFonts w:eastAsia="Calibri" w:cs="Arial"/>
          <w:szCs w:val="24"/>
        </w:rPr>
        <w:t xml:space="preserve">   </w:t>
      </w:r>
      <w:r w:rsidR="000E6936">
        <w:rPr>
          <w:rFonts w:eastAsia="Calibri" w:cs="Arial"/>
          <w:szCs w:val="24"/>
        </w:rPr>
        <w:t>Residents living near the sites have been written to</w:t>
      </w:r>
      <w:r w:rsidR="00ED3770">
        <w:rPr>
          <w:rFonts w:eastAsia="Calibri" w:cs="Arial"/>
          <w:szCs w:val="24"/>
        </w:rPr>
        <w:t>,</w:t>
      </w:r>
      <w:r w:rsidR="000E6936">
        <w:rPr>
          <w:rFonts w:eastAsia="Calibri" w:cs="Arial"/>
          <w:szCs w:val="24"/>
        </w:rPr>
        <w:t xml:space="preserve"> t</w:t>
      </w:r>
      <w:r w:rsidR="00A004D3" w:rsidRPr="00A004D3">
        <w:rPr>
          <w:rFonts w:eastAsia="Calibri" w:cs="Arial"/>
          <w:szCs w:val="24"/>
        </w:rPr>
        <w:t xml:space="preserve">o inform </w:t>
      </w:r>
      <w:r w:rsidR="000E6936">
        <w:rPr>
          <w:rFonts w:eastAsia="Calibri" w:cs="Arial"/>
          <w:szCs w:val="24"/>
        </w:rPr>
        <w:t>them</w:t>
      </w:r>
      <w:r w:rsidR="00A004D3" w:rsidRPr="00A004D3">
        <w:rPr>
          <w:rFonts w:eastAsia="Calibri" w:cs="Arial"/>
          <w:szCs w:val="24"/>
        </w:rPr>
        <w:t xml:space="preserve"> of the proposal to seek in principle approval from Cabinet to dispose of the </w:t>
      </w:r>
      <w:r w:rsidR="00CB5ACF">
        <w:rPr>
          <w:rFonts w:eastAsia="Calibri" w:cs="Arial"/>
          <w:szCs w:val="24"/>
        </w:rPr>
        <w:t xml:space="preserve">nearby </w:t>
      </w:r>
      <w:r w:rsidR="00A004D3" w:rsidRPr="00A004D3">
        <w:rPr>
          <w:rFonts w:eastAsia="Calibri" w:cs="Arial"/>
          <w:szCs w:val="24"/>
        </w:rPr>
        <w:t>site</w:t>
      </w:r>
      <w:r w:rsidR="008E7DC9">
        <w:rPr>
          <w:rFonts w:eastAsia="Calibri" w:cs="Arial"/>
          <w:szCs w:val="24"/>
        </w:rPr>
        <w:t xml:space="preserve"> </w:t>
      </w:r>
      <w:r w:rsidR="003A1FD6">
        <w:rPr>
          <w:rFonts w:eastAsia="Calibri" w:cs="Arial"/>
          <w:szCs w:val="24"/>
        </w:rPr>
        <w:t>t</w:t>
      </w:r>
      <w:r w:rsidR="00A004D3" w:rsidRPr="00A004D3">
        <w:rPr>
          <w:rFonts w:eastAsia="Calibri" w:cs="Arial"/>
          <w:szCs w:val="24"/>
        </w:rPr>
        <w:t>o C</w:t>
      </w:r>
      <w:r w:rsidR="00CB5ACF">
        <w:rPr>
          <w:rFonts w:eastAsia="Calibri" w:cs="Arial"/>
          <w:szCs w:val="24"/>
        </w:rPr>
        <w:t>ommunity Led Housing</w:t>
      </w:r>
      <w:r w:rsidR="00A004D3" w:rsidRPr="00A004D3">
        <w:rPr>
          <w:rFonts w:eastAsia="Calibri" w:cs="Arial"/>
          <w:szCs w:val="24"/>
        </w:rPr>
        <w:t xml:space="preserve"> groups.  </w:t>
      </w:r>
      <w:r w:rsidR="00CB5ACF">
        <w:rPr>
          <w:rFonts w:eastAsia="Calibri" w:cs="Arial"/>
          <w:szCs w:val="24"/>
        </w:rPr>
        <w:t xml:space="preserve">A group </w:t>
      </w:r>
      <w:r w:rsidR="00A004D3" w:rsidRPr="00A004D3">
        <w:rPr>
          <w:rFonts w:eastAsia="Calibri" w:cs="Arial"/>
          <w:szCs w:val="24"/>
        </w:rPr>
        <w:t>would need to consult with local residents and obtain planning permission for any housing development</w:t>
      </w:r>
      <w:r w:rsidR="000E6936">
        <w:rPr>
          <w:rFonts w:eastAsia="Calibri" w:cs="Arial"/>
          <w:szCs w:val="24"/>
        </w:rPr>
        <w:t xml:space="preserve">, </w:t>
      </w:r>
      <w:r w:rsidR="004C1FC6">
        <w:rPr>
          <w:rFonts w:eastAsia="Calibri" w:cs="Arial"/>
          <w:szCs w:val="24"/>
        </w:rPr>
        <w:t xml:space="preserve">giving </w:t>
      </w:r>
      <w:r w:rsidR="00ED3770">
        <w:rPr>
          <w:rFonts w:eastAsia="Calibri" w:cs="Arial"/>
          <w:szCs w:val="24"/>
        </w:rPr>
        <w:t xml:space="preserve">residents </w:t>
      </w:r>
      <w:r w:rsidR="00ED3770" w:rsidRPr="00A004D3">
        <w:rPr>
          <w:rFonts w:eastAsia="Calibri" w:cs="Arial"/>
          <w:szCs w:val="24"/>
        </w:rPr>
        <w:t>the</w:t>
      </w:r>
      <w:r w:rsidR="00A004D3" w:rsidRPr="00A004D3">
        <w:rPr>
          <w:rFonts w:eastAsia="Calibri" w:cs="Arial"/>
          <w:szCs w:val="24"/>
        </w:rPr>
        <w:t xml:space="preserve"> opportunity to comment on any proposals for the site as part of the consultation and Planning process.  </w:t>
      </w:r>
    </w:p>
    <w:p w:rsidR="00945AB0" w:rsidRPr="001F7C15" w:rsidRDefault="00945AB0" w:rsidP="000E6936">
      <w:pPr>
        <w:spacing w:after="200" w:line="276" w:lineRule="auto"/>
        <w:ind w:left="720" w:hanging="720"/>
        <w:rPr>
          <w:rFonts w:eastAsia="Calibri" w:cs="Arial"/>
          <w:szCs w:val="24"/>
        </w:rPr>
      </w:pPr>
    </w:p>
    <w:p w:rsidR="00D0076C" w:rsidRPr="0009013D" w:rsidRDefault="00333FAA" w:rsidP="00333FAA">
      <w:pPr>
        <w:pStyle w:val="Heading2"/>
      </w:pPr>
      <w:r w:rsidRPr="00D0076C">
        <w:lastRenderedPageBreak/>
        <w:t>Why change is needed</w:t>
      </w:r>
    </w:p>
    <w:p w:rsidR="00551A83" w:rsidRDefault="00551A83" w:rsidP="00B26403">
      <w:pPr>
        <w:spacing w:line="276" w:lineRule="auto"/>
        <w:rPr>
          <w:rFonts w:eastAsia="Calibri" w:cs="Arial"/>
          <w:sz w:val="22"/>
          <w:szCs w:val="22"/>
        </w:rPr>
      </w:pPr>
    </w:p>
    <w:p w:rsidR="00243C44" w:rsidRDefault="00BC0D46" w:rsidP="00F35DF0">
      <w:pPr>
        <w:ind w:left="720" w:hanging="720"/>
        <w:rPr>
          <w:rFonts w:cs="Arial"/>
          <w:szCs w:val="24"/>
        </w:rPr>
      </w:pPr>
      <w:r w:rsidRPr="00D60BD5">
        <w:rPr>
          <w:rFonts w:cs="Arial"/>
          <w:szCs w:val="24"/>
        </w:rPr>
        <w:t>3.1.</w:t>
      </w:r>
      <w:r w:rsidRPr="00D60BD5">
        <w:rPr>
          <w:rFonts w:cs="Arial"/>
          <w:szCs w:val="24"/>
        </w:rPr>
        <w:tab/>
      </w:r>
      <w:r w:rsidR="00243C44">
        <w:rPr>
          <w:rFonts w:cs="Arial"/>
          <w:szCs w:val="24"/>
        </w:rPr>
        <w:t xml:space="preserve">The need for affordable housing is clearly set out in the council’s Housing Strategy. Disposal of sites </w:t>
      </w:r>
      <w:r w:rsidR="00202733">
        <w:rPr>
          <w:rFonts w:cs="Arial"/>
          <w:szCs w:val="24"/>
        </w:rPr>
        <w:t xml:space="preserve">that </w:t>
      </w:r>
      <w:r w:rsidR="00243C44">
        <w:rPr>
          <w:rFonts w:cs="Arial"/>
          <w:szCs w:val="24"/>
        </w:rPr>
        <w:t>the council is unable to develop</w:t>
      </w:r>
      <w:r w:rsidR="00202733">
        <w:rPr>
          <w:rFonts w:cs="Arial"/>
          <w:szCs w:val="24"/>
        </w:rPr>
        <w:t>,</w:t>
      </w:r>
      <w:r w:rsidR="00243C44">
        <w:rPr>
          <w:rFonts w:cs="Arial"/>
          <w:szCs w:val="24"/>
        </w:rPr>
        <w:t xml:space="preserve"> to Community Led Housing groups will enable t</w:t>
      </w:r>
      <w:r w:rsidR="00202733">
        <w:rPr>
          <w:rFonts w:cs="Arial"/>
          <w:szCs w:val="24"/>
        </w:rPr>
        <w:t>he</w:t>
      </w:r>
      <w:r w:rsidR="00243C44">
        <w:rPr>
          <w:rFonts w:cs="Arial"/>
          <w:szCs w:val="24"/>
        </w:rPr>
        <w:t xml:space="preserve"> supply of additional housing.</w:t>
      </w:r>
    </w:p>
    <w:p w:rsidR="00243C44" w:rsidRDefault="00243C44" w:rsidP="00BC0D46">
      <w:pPr>
        <w:rPr>
          <w:rFonts w:cs="Arial"/>
          <w:szCs w:val="24"/>
        </w:rPr>
      </w:pPr>
    </w:p>
    <w:p w:rsidR="00BC0D46" w:rsidRPr="00D60BD5" w:rsidRDefault="00243C44" w:rsidP="00BC0D46">
      <w:pPr>
        <w:rPr>
          <w:rFonts w:cs="Arial"/>
          <w:szCs w:val="24"/>
        </w:rPr>
      </w:pPr>
      <w:r>
        <w:rPr>
          <w:rFonts w:cs="Arial"/>
          <w:szCs w:val="24"/>
        </w:rPr>
        <w:t xml:space="preserve">3.2     </w:t>
      </w:r>
      <w:r w:rsidR="00BC0D46" w:rsidRPr="00D60BD5">
        <w:rPr>
          <w:rFonts w:cs="Arial"/>
          <w:szCs w:val="24"/>
        </w:rPr>
        <w:t>The demand for garages has fallen from when they were initially built due to:</w:t>
      </w:r>
    </w:p>
    <w:p w:rsidR="00BC0D46" w:rsidRPr="00D60BD5" w:rsidRDefault="00BC0D46" w:rsidP="00BC0D46">
      <w:pPr>
        <w:rPr>
          <w:rFonts w:cs="Arial"/>
          <w:szCs w:val="24"/>
        </w:rPr>
      </w:pPr>
    </w:p>
    <w:p w:rsidR="00BC0D46" w:rsidRPr="00D60BD5" w:rsidRDefault="00BC0D46" w:rsidP="00BC0D46">
      <w:pPr>
        <w:pStyle w:val="ListParagraph"/>
        <w:numPr>
          <w:ilvl w:val="0"/>
          <w:numId w:val="28"/>
        </w:numPr>
        <w:spacing w:after="200" w:line="276" w:lineRule="auto"/>
        <w:contextualSpacing/>
        <w:rPr>
          <w:rFonts w:cs="Arial"/>
          <w:szCs w:val="24"/>
        </w:rPr>
      </w:pPr>
      <w:r w:rsidRPr="00D60BD5">
        <w:rPr>
          <w:rFonts w:cs="Arial"/>
          <w:szCs w:val="24"/>
        </w:rPr>
        <w:t>Cars being better built so able to be left on the road without issues of corroding or poor starting;</w:t>
      </w:r>
    </w:p>
    <w:p w:rsidR="00BC0D46" w:rsidRPr="00D60BD5" w:rsidRDefault="00BC0D46" w:rsidP="00BC0D46">
      <w:pPr>
        <w:pStyle w:val="ListParagraph"/>
        <w:numPr>
          <w:ilvl w:val="0"/>
          <w:numId w:val="28"/>
        </w:numPr>
        <w:spacing w:after="200" w:line="276" w:lineRule="auto"/>
        <w:contextualSpacing/>
        <w:rPr>
          <w:rFonts w:cs="Arial"/>
          <w:szCs w:val="24"/>
        </w:rPr>
      </w:pPr>
      <w:r w:rsidRPr="00D60BD5">
        <w:rPr>
          <w:rFonts w:cs="Arial"/>
          <w:szCs w:val="24"/>
        </w:rPr>
        <w:t>The relative ratio of the cost of a vehicle to a families’ income meaning that they are not viewed as a luxury item to be cherished but a standard item of ownership; and</w:t>
      </w:r>
    </w:p>
    <w:p w:rsidR="00BC0D46" w:rsidRPr="00D60BD5" w:rsidRDefault="00BC0D46" w:rsidP="00BC0D46">
      <w:pPr>
        <w:pStyle w:val="ListParagraph"/>
        <w:numPr>
          <w:ilvl w:val="0"/>
          <w:numId w:val="28"/>
        </w:numPr>
        <w:spacing w:after="200" w:line="276" w:lineRule="auto"/>
        <w:contextualSpacing/>
        <w:rPr>
          <w:rFonts w:cs="Arial"/>
          <w:szCs w:val="24"/>
        </w:rPr>
      </w:pPr>
      <w:r w:rsidRPr="00D60BD5">
        <w:rPr>
          <w:rFonts w:cs="Arial"/>
          <w:szCs w:val="24"/>
        </w:rPr>
        <w:t>Vehicles becoming larger so less able to fit in older garages.</w:t>
      </w:r>
    </w:p>
    <w:p w:rsidR="00BC0D46" w:rsidRPr="00D60BD5" w:rsidRDefault="00BC0D46" w:rsidP="00ED3770">
      <w:pPr>
        <w:ind w:left="720"/>
        <w:rPr>
          <w:rFonts w:cs="Arial"/>
          <w:szCs w:val="24"/>
        </w:rPr>
      </w:pPr>
      <w:r w:rsidRPr="00D60BD5">
        <w:rPr>
          <w:rFonts w:cs="Arial"/>
          <w:szCs w:val="24"/>
        </w:rPr>
        <w:t>This low demand plus limited resources to maintain the garages has meant that holding the garages has become less economically viable.</w:t>
      </w:r>
    </w:p>
    <w:p w:rsidR="00BC0D46" w:rsidRPr="00D60BD5" w:rsidRDefault="00BC0D46" w:rsidP="00BC0D46">
      <w:pPr>
        <w:rPr>
          <w:rFonts w:cs="Arial"/>
          <w:szCs w:val="24"/>
        </w:rPr>
      </w:pPr>
    </w:p>
    <w:p w:rsidR="00BC0D46" w:rsidRPr="00D60BD5" w:rsidRDefault="00BC0D46" w:rsidP="00BC0D46">
      <w:pPr>
        <w:ind w:left="720" w:hanging="720"/>
        <w:rPr>
          <w:rFonts w:cs="Arial"/>
          <w:szCs w:val="24"/>
        </w:rPr>
      </w:pPr>
      <w:r w:rsidRPr="00D60BD5">
        <w:rPr>
          <w:rFonts w:cs="Arial"/>
          <w:szCs w:val="24"/>
        </w:rPr>
        <w:t>3.</w:t>
      </w:r>
      <w:r w:rsidR="00243C44">
        <w:rPr>
          <w:rFonts w:cs="Arial"/>
          <w:szCs w:val="24"/>
        </w:rPr>
        <w:t>3</w:t>
      </w:r>
      <w:r w:rsidRPr="00D60BD5">
        <w:rPr>
          <w:rFonts w:cs="Arial"/>
          <w:szCs w:val="24"/>
        </w:rPr>
        <w:t>.</w:t>
      </w:r>
      <w:r w:rsidRPr="00D60BD5">
        <w:rPr>
          <w:rFonts w:cs="Arial"/>
          <w:szCs w:val="24"/>
        </w:rPr>
        <w:tab/>
        <w:t xml:space="preserve">Due to limited resources, there has not been a major investment programme for garages in recent years and currently repairs are only carried out where necessary and where economically viable.  In reality this means that only limited repairs are being carried out and garages will deteriorate further as time passes.  </w:t>
      </w:r>
    </w:p>
    <w:p w:rsidR="00BC0D46" w:rsidRPr="00D60BD5" w:rsidRDefault="00BC0D46" w:rsidP="00BC0D46">
      <w:pPr>
        <w:rPr>
          <w:rFonts w:cs="Arial"/>
          <w:szCs w:val="24"/>
        </w:rPr>
      </w:pPr>
    </w:p>
    <w:p w:rsidR="004C1FC6" w:rsidRDefault="00BC0D46" w:rsidP="00BC0D46">
      <w:pPr>
        <w:ind w:left="720" w:hanging="720"/>
        <w:rPr>
          <w:rFonts w:cs="Arial"/>
          <w:szCs w:val="24"/>
        </w:rPr>
      </w:pPr>
      <w:r w:rsidRPr="00D60BD5">
        <w:rPr>
          <w:rFonts w:cs="Arial"/>
          <w:szCs w:val="24"/>
        </w:rPr>
        <w:t>3.</w:t>
      </w:r>
      <w:r w:rsidR="00243C44">
        <w:rPr>
          <w:rFonts w:cs="Arial"/>
          <w:szCs w:val="24"/>
        </w:rPr>
        <w:t>4</w:t>
      </w:r>
      <w:r w:rsidRPr="00D60BD5">
        <w:rPr>
          <w:rFonts w:cs="Arial"/>
          <w:szCs w:val="24"/>
        </w:rPr>
        <w:t>.</w:t>
      </w:r>
      <w:r w:rsidRPr="00D60BD5">
        <w:rPr>
          <w:rFonts w:cs="Arial"/>
          <w:szCs w:val="24"/>
        </w:rPr>
        <w:tab/>
      </w:r>
      <w:r w:rsidR="008F115E">
        <w:rPr>
          <w:rFonts w:cs="Arial"/>
          <w:szCs w:val="24"/>
        </w:rPr>
        <w:t xml:space="preserve">The total annual income </w:t>
      </w:r>
      <w:r w:rsidR="00484942">
        <w:rPr>
          <w:rFonts w:cs="Arial"/>
          <w:szCs w:val="24"/>
        </w:rPr>
        <w:t>over the</w:t>
      </w:r>
      <w:r w:rsidR="008F115E">
        <w:rPr>
          <w:rFonts w:cs="Arial"/>
          <w:szCs w:val="24"/>
        </w:rPr>
        <w:t xml:space="preserve"> 3 garage sites from the 1</w:t>
      </w:r>
      <w:r w:rsidR="00E953B9">
        <w:rPr>
          <w:rFonts w:cs="Arial"/>
          <w:szCs w:val="24"/>
        </w:rPr>
        <w:t>1</w:t>
      </w:r>
      <w:r w:rsidR="008F115E">
        <w:rPr>
          <w:rFonts w:cs="Arial"/>
          <w:szCs w:val="24"/>
        </w:rPr>
        <w:t xml:space="preserve"> let garages is </w:t>
      </w:r>
      <w:r w:rsidR="00CE2491">
        <w:rPr>
          <w:rFonts w:cs="Arial"/>
          <w:szCs w:val="24"/>
        </w:rPr>
        <w:t xml:space="preserve"> £</w:t>
      </w:r>
      <w:r w:rsidR="00E953B9">
        <w:rPr>
          <w:rFonts w:cs="Arial"/>
          <w:szCs w:val="24"/>
        </w:rPr>
        <w:t>8,036</w:t>
      </w:r>
      <w:r w:rsidR="008F115E">
        <w:rPr>
          <w:rFonts w:cs="Arial"/>
          <w:szCs w:val="24"/>
        </w:rPr>
        <w:t xml:space="preserve">. </w:t>
      </w:r>
      <w:r w:rsidRPr="00D60BD5">
        <w:rPr>
          <w:rFonts w:cs="Arial"/>
          <w:szCs w:val="24"/>
        </w:rPr>
        <w:t xml:space="preserve">The total annual rental income lost from </w:t>
      </w:r>
      <w:r w:rsidR="008F115E">
        <w:rPr>
          <w:rFonts w:cs="Arial"/>
          <w:szCs w:val="24"/>
        </w:rPr>
        <w:t xml:space="preserve">25 </w:t>
      </w:r>
      <w:r w:rsidRPr="00D60BD5">
        <w:rPr>
          <w:rFonts w:cs="Arial"/>
          <w:szCs w:val="24"/>
        </w:rPr>
        <w:t>void garages over the 3 garage sites is £</w:t>
      </w:r>
      <w:r w:rsidR="000F2C7C">
        <w:rPr>
          <w:rFonts w:cs="Arial"/>
          <w:szCs w:val="24"/>
        </w:rPr>
        <w:t>18,265</w:t>
      </w:r>
      <w:r w:rsidRPr="00D60BD5">
        <w:rPr>
          <w:rFonts w:cs="Arial"/>
          <w:szCs w:val="24"/>
        </w:rPr>
        <w:t xml:space="preserve">. </w:t>
      </w:r>
      <w:r w:rsidR="008F115E">
        <w:rPr>
          <w:rFonts w:cs="Arial"/>
          <w:szCs w:val="24"/>
        </w:rPr>
        <w:t xml:space="preserve">If the garage sites are sold, the total annual loss of income is </w:t>
      </w:r>
      <w:r w:rsidR="000558A8">
        <w:rPr>
          <w:rFonts w:cs="Arial"/>
          <w:szCs w:val="24"/>
        </w:rPr>
        <w:t>£26,301</w:t>
      </w:r>
      <w:r w:rsidRPr="00D60BD5">
        <w:rPr>
          <w:rFonts w:cs="Arial"/>
          <w:szCs w:val="24"/>
        </w:rPr>
        <w:t xml:space="preserve"> The cost to repair </w:t>
      </w:r>
      <w:r w:rsidR="008F115E">
        <w:rPr>
          <w:rFonts w:cs="Arial"/>
          <w:szCs w:val="24"/>
        </w:rPr>
        <w:t xml:space="preserve">all </w:t>
      </w:r>
      <w:r w:rsidR="00484942">
        <w:rPr>
          <w:rFonts w:cs="Arial"/>
          <w:szCs w:val="24"/>
        </w:rPr>
        <w:t xml:space="preserve">36 </w:t>
      </w:r>
      <w:r w:rsidR="00484942" w:rsidRPr="00D60BD5">
        <w:rPr>
          <w:rFonts w:cs="Arial"/>
          <w:szCs w:val="24"/>
        </w:rPr>
        <w:t>garages</w:t>
      </w:r>
      <w:r w:rsidRPr="00D60BD5">
        <w:rPr>
          <w:rFonts w:cs="Arial"/>
          <w:szCs w:val="24"/>
        </w:rPr>
        <w:t xml:space="preserve"> to bring them up to lettable standard</w:t>
      </w:r>
      <w:r w:rsidR="008F115E">
        <w:rPr>
          <w:rFonts w:cs="Arial"/>
          <w:szCs w:val="24"/>
        </w:rPr>
        <w:t xml:space="preserve"> to maintain and encourage lettings is </w:t>
      </w:r>
      <w:r w:rsidR="000558A8">
        <w:rPr>
          <w:rFonts w:cs="Arial"/>
          <w:szCs w:val="24"/>
        </w:rPr>
        <w:t>£115,200</w:t>
      </w:r>
      <w:r w:rsidR="008F115E">
        <w:rPr>
          <w:rFonts w:cs="Arial"/>
          <w:szCs w:val="24"/>
        </w:rPr>
        <w:t>.  The cost to repair only void garages is £80,000</w:t>
      </w:r>
      <w:r w:rsidRPr="00D60BD5">
        <w:rPr>
          <w:rFonts w:cs="Arial"/>
          <w:szCs w:val="24"/>
        </w:rPr>
        <w:t>.  However, it is doubtful if there is sufficient demand to enable full letting of these garages.</w:t>
      </w:r>
    </w:p>
    <w:p w:rsidR="00BC0D46" w:rsidRPr="00D60BD5" w:rsidRDefault="00BC0D46" w:rsidP="00BC0D46">
      <w:pPr>
        <w:ind w:left="720" w:hanging="720"/>
        <w:rPr>
          <w:rFonts w:cs="Arial"/>
          <w:szCs w:val="24"/>
        </w:rPr>
      </w:pPr>
    </w:p>
    <w:p w:rsidR="005C2A48" w:rsidRDefault="00BC0D46" w:rsidP="00BC0D46">
      <w:pPr>
        <w:ind w:left="720" w:hanging="720"/>
        <w:rPr>
          <w:rFonts w:cs="Arial"/>
          <w:szCs w:val="24"/>
        </w:rPr>
      </w:pPr>
      <w:r w:rsidRPr="00D60BD5">
        <w:rPr>
          <w:rFonts w:cs="Arial"/>
          <w:szCs w:val="24"/>
        </w:rPr>
        <w:t>3.</w:t>
      </w:r>
      <w:r w:rsidR="00243C44">
        <w:rPr>
          <w:rFonts w:cs="Arial"/>
          <w:szCs w:val="24"/>
        </w:rPr>
        <w:t>5</w:t>
      </w:r>
      <w:r w:rsidRPr="00D60BD5">
        <w:rPr>
          <w:rFonts w:cs="Arial"/>
          <w:szCs w:val="24"/>
        </w:rPr>
        <w:t>.</w:t>
      </w:r>
      <w:r w:rsidRPr="00D60BD5">
        <w:rPr>
          <w:rFonts w:cs="Arial"/>
          <w:szCs w:val="24"/>
        </w:rPr>
        <w:tab/>
      </w:r>
      <w:r w:rsidR="005C2A48">
        <w:rPr>
          <w:rFonts w:cs="Arial"/>
          <w:szCs w:val="24"/>
        </w:rPr>
        <w:t>Development of non garage sites would provide additional homes for Harrow residents and contribute to meeting the London Plan overall housing target and small sites target.</w:t>
      </w:r>
      <w:r w:rsidR="006D520D">
        <w:rPr>
          <w:rFonts w:cs="Arial"/>
          <w:szCs w:val="24"/>
        </w:rPr>
        <w:t xml:space="preserve"> It would also avoid the risk of Anti-Social Behaviour and fly tipping on the vacant land.</w:t>
      </w:r>
    </w:p>
    <w:p w:rsidR="005C2A48" w:rsidRDefault="005C2A48" w:rsidP="00BC0D46">
      <w:pPr>
        <w:ind w:left="720" w:hanging="720"/>
        <w:rPr>
          <w:rFonts w:cs="Arial"/>
          <w:szCs w:val="24"/>
        </w:rPr>
      </w:pPr>
    </w:p>
    <w:p w:rsidR="00BC0D46" w:rsidRPr="00D60BD5" w:rsidRDefault="005C2A48" w:rsidP="00BC0D46">
      <w:pPr>
        <w:ind w:left="720" w:hanging="720"/>
        <w:rPr>
          <w:rFonts w:cs="Arial"/>
          <w:szCs w:val="24"/>
        </w:rPr>
      </w:pPr>
      <w:r>
        <w:rPr>
          <w:rFonts w:cs="Arial"/>
          <w:szCs w:val="24"/>
        </w:rPr>
        <w:t>3.</w:t>
      </w:r>
      <w:r w:rsidR="00243C44">
        <w:rPr>
          <w:rFonts w:cs="Arial"/>
          <w:szCs w:val="24"/>
        </w:rPr>
        <w:t>6</w:t>
      </w:r>
      <w:r>
        <w:rPr>
          <w:rFonts w:cs="Arial"/>
          <w:szCs w:val="24"/>
        </w:rPr>
        <w:tab/>
      </w:r>
      <w:r w:rsidR="00BC0D46" w:rsidRPr="00D60BD5">
        <w:rPr>
          <w:rFonts w:cs="Arial"/>
          <w:szCs w:val="24"/>
        </w:rPr>
        <w:t xml:space="preserve">None of the </w:t>
      </w:r>
      <w:r w:rsidR="008224F7">
        <w:rPr>
          <w:rFonts w:cs="Arial"/>
          <w:szCs w:val="24"/>
        </w:rPr>
        <w:t>five</w:t>
      </w:r>
      <w:r w:rsidR="00BC0D46" w:rsidRPr="00D60BD5">
        <w:rPr>
          <w:rFonts w:cs="Arial"/>
          <w:szCs w:val="24"/>
        </w:rPr>
        <w:t xml:space="preserve"> sites are suitable for development by the Council and as such are highly likely to remain undeveloped, with the accompanying risk to the Council of ongoing repair liability for existing garages.   In addition, vacant plots and garage sites can attract ASB and vandalism, are subject to misuse and could attract fly tipping.  Development by a C</w:t>
      </w:r>
      <w:r w:rsidR="00CB5ACF">
        <w:rPr>
          <w:rFonts w:cs="Arial"/>
          <w:szCs w:val="24"/>
        </w:rPr>
        <w:t>ommunity Led Housing</w:t>
      </w:r>
      <w:r w:rsidR="00BC0D46" w:rsidRPr="00D60BD5">
        <w:rPr>
          <w:rFonts w:cs="Arial"/>
          <w:szCs w:val="24"/>
        </w:rPr>
        <w:t xml:space="preserve"> group would remove these risks, and improve the immediate area for residents.   </w:t>
      </w:r>
    </w:p>
    <w:p w:rsidR="00FD332B" w:rsidRDefault="00FD332B" w:rsidP="004A2097">
      <w:pPr>
        <w:spacing w:after="200" w:line="276" w:lineRule="auto"/>
        <w:ind w:left="423" w:hanging="423"/>
        <w:rPr>
          <w:rFonts w:eastAsia="Calibri" w:cs="Arial"/>
          <w:sz w:val="22"/>
          <w:szCs w:val="22"/>
        </w:rPr>
      </w:pPr>
    </w:p>
    <w:p w:rsidR="00ED3770" w:rsidRPr="00484942" w:rsidRDefault="00AA074F" w:rsidP="0054590F">
      <w:r>
        <w:t xml:space="preserve">  </w:t>
      </w:r>
      <w:r w:rsidR="00307F76" w:rsidRPr="00ED3770">
        <w:rPr>
          <w:b/>
        </w:rPr>
        <w:t>Ward Councillors’ comments</w:t>
      </w:r>
      <w:r w:rsidR="00ED3770">
        <w:rPr>
          <w:b/>
        </w:rPr>
        <w:t xml:space="preserve"> </w:t>
      </w:r>
      <w:r w:rsidR="00C2170D" w:rsidRPr="00A258BA">
        <w:rPr>
          <w:b/>
        </w:rPr>
        <w:t xml:space="preserve"> </w:t>
      </w:r>
    </w:p>
    <w:p w:rsidR="00307F76" w:rsidRPr="00CE2786" w:rsidRDefault="0066136B" w:rsidP="0054590F">
      <w:pPr>
        <w:rPr>
          <w:b/>
        </w:rPr>
      </w:pPr>
      <w:r>
        <w:rPr>
          <w:b/>
        </w:rPr>
        <w:t xml:space="preserve"> </w:t>
      </w:r>
    </w:p>
    <w:p w:rsidR="00243C44" w:rsidRDefault="00ED3770" w:rsidP="006A0868">
      <w:r>
        <w:t>Ward Councillors</w:t>
      </w:r>
      <w:r w:rsidR="009478FA">
        <w:t xml:space="preserve"> </w:t>
      </w:r>
      <w:r w:rsidR="00243C44">
        <w:t xml:space="preserve">in the following wards were consulted on this proposal by email on the </w:t>
      </w:r>
      <w:r w:rsidR="00E34366" w:rsidRPr="00E34366">
        <w:t>26th February 2020</w:t>
      </w:r>
      <w:r w:rsidR="00243C44">
        <w:t>:</w:t>
      </w:r>
      <w:r w:rsidR="00E34366">
        <w:t>.</w:t>
      </w:r>
    </w:p>
    <w:p w:rsidR="00E34366" w:rsidRDefault="00E34366" w:rsidP="006A0868"/>
    <w:p w:rsidR="00E34366" w:rsidRDefault="00E34366" w:rsidP="00F35DF0">
      <w:pPr>
        <w:pStyle w:val="ListParagraph"/>
        <w:numPr>
          <w:ilvl w:val="0"/>
          <w:numId w:val="33"/>
        </w:numPr>
      </w:pPr>
      <w:r>
        <w:t>Edgware</w:t>
      </w:r>
    </w:p>
    <w:p w:rsidR="00E34366" w:rsidRDefault="00E34366" w:rsidP="00F35DF0">
      <w:pPr>
        <w:pStyle w:val="ListParagraph"/>
        <w:numPr>
          <w:ilvl w:val="0"/>
          <w:numId w:val="33"/>
        </w:numPr>
      </w:pPr>
      <w:r>
        <w:t>Wealdstone</w:t>
      </w:r>
    </w:p>
    <w:p w:rsidR="00E34366" w:rsidRDefault="00E34366" w:rsidP="00F35DF0">
      <w:pPr>
        <w:pStyle w:val="ListParagraph"/>
        <w:numPr>
          <w:ilvl w:val="0"/>
          <w:numId w:val="33"/>
        </w:numPr>
      </w:pPr>
      <w:r>
        <w:t>Harrow-on-the-Hill</w:t>
      </w:r>
    </w:p>
    <w:p w:rsidR="00E34366" w:rsidRDefault="00E34366" w:rsidP="00F35DF0">
      <w:pPr>
        <w:pStyle w:val="ListParagraph"/>
        <w:numPr>
          <w:ilvl w:val="0"/>
          <w:numId w:val="33"/>
        </w:numPr>
      </w:pPr>
      <w:r>
        <w:lastRenderedPageBreak/>
        <w:t>Pinner South</w:t>
      </w:r>
    </w:p>
    <w:p w:rsidR="00E34366" w:rsidRDefault="00112344" w:rsidP="00F35DF0">
      <w:pPr>
        <w:pStyle w:val="ListParagraph"/>
        <w:numPr>
          <w:ilvl w:val="0"/>
          <w:numId w:val="33"/>
        </w:numPr>
      </w:pPr>
      <w:r>
        <w:t>Can</w:t>
      </w:r>
      <w:r w:rsidR="00E34366">
        <w:t>ons</w:t>
      </w:r>
    </w:p>
    <w:p w:rsidR="00243C44" w:rsidRDefault="00243C44" w:rsidP="006A0868"/>
    <w:p w:rsidR="00243C44" w:rsidRDefault="00243C44" w:rsidP="006A0868"/>
    <w:p w:rsidR="00243C44" w:rsidRDefault="00243C44" w:rsidP="006A0868"/>
    <w:p w:rsidR="009478FA" w:rsidRDefault="00243C44" w:rsidP="006A0868">
      <w:r>
        <w:t xml:space="preserve">Ward councillors </w:t>
      </w:r>
      <w:r w:rsidR="00EF4349">
        <w:t xml:space="preserve">raised </w:t>
      </w:r>
      <w:r>
        <w:t>the following issues</w:t>
      </w:r>
      <w:r w:rsidR="00EF4349">
        <w:t>:</w:t>
      </w:r>
    </w:p>
    <w:p w:rsidR="009478FA" w:rsidRDefault="009478FA" w:rsidP="006A0868"/>
    <w:p w:rsidR="006A0868" w:rsidRPr="001F7C15" w:rsidRDefault="00EF4349" w:rsidP="00F35DF0">
      <w:pPr>
        <w:pStyle w:val="ListParagraph"/>
        <w:numPr>
          <w:ilvl w:val="0"/>
          <w:numId w:val="33"/>
        </w:numPr>
      </w:pPr>
      <w:r>
        <w:t>The number of homes</w:t>
      </w:r>
      <w:r w:rsidR="006A0868" w:rsidRPr="001F7C15">
        <w:t xml:space="preserve"> being proposed for the garage sites</w:t>
      </w:r>
      <w:r w:rsidR="006A0868" w:rsidRPr="006A0868">
        <w:t xml:space="preserve"> </w:t>
      </w:r>
      <w:r w:rsidR="006A0868" w:rsidRPr="001F7C15">
        <w:t xml:space="preserve">in Canons Ward.  </w:t>
      </w:r>
      <w:r w:rsidR="003179FA">
        <w:t>T</w:t>
      </w:r>
      <w:r w:rsidR="006A0868">
        <w:t>he proposal is for 3 or 4 family houses to be built on the site.</w:t>
      </w:r>
    </w:p>
    <w:p w:rsidR="006A0868" w:rsidRPr="006A0868" w:rsidRDefault="006A0868" w:rsidP="006A0868">
      <w:pPr>
        <w:rPr>
          <w:b/>
        </w:rPr>
      </w:pPr>
    </w:p>
    <w:p w:rsidR="005B4E34" w:rsidRDefault="00243C44" w:rsidP="00F35DF0">
      <w:pPr>
        <w:pStyle w:val="ListParagraph"/>
        <w:numPr>
          <w:ilvl w:val="0"/>
          <w:numId w:val="33"/>
        </w:numPr>
      </w:pPr>
      <w:r>
        <w:t>C</w:t>
      </w:r>
      <w:r w:rsidR="00F14A1B">
        <w:t>oncern</w:t>
      </w:r>
      <w:r>
        <w:t xml:space="preserve"> were expressed</w:t>
      </w:r>
      <w:r w:rsidR="00F14A1B">
        <w:t xml:space="preserve"> that</w:t>
      </w:r>
      <w:r w:rsidR="005B4E34" w:rsidRPr="005B4E34">
        <w:t xml:space="preserve"> the</w:t>
      </w:r>
      <w:r>
        <w:t>y had insufficient time to respond before the Cabinet meeting.</w:t>
      </w:r>
      <w:r w:rsidR="005B4E34" w:rsidRPr="005B4E34">
        <w:t xml:space="preserve">  In future, reports will be circulated to </w:t>
      </w:r>
      <w:r w:rsidR="00484942">
        <w:t>W</w:t>
      </w:r>
      <w:r w:rsidR="005B4E34" w:rsidRPr="005B4E34">
        <w:t>ard Councillors at an earlier stage</w:t>
      </w:r>
      <w:r w:rsidR="00484942">
        <w:t>.</w:t>
      </w:r>
    </w:p>
    <w:p w:rsidR="003C5FC2" w:rsidRDefault="003C5FC2" w:rsidP="006A0868"/>
    <w:p w:rsidR="003C5FC2" w:rsidRPr="001F7C15" w:rsidRDefault="00484942" w:rsidP="006A0868">
      <w:r>
        <w:t>The Ward C</w:t>
      </w:r>
      <w:r w:rsidR="00EF4349">
        <w:t xml:space="preserve">ouncillor </w:t>
      </w:r>
      <w:r>
        <w:t xml:space="preserve">who expressed concerns about timescales </w:t>
      </w:r>
      <w:r w:rsidR="00EF4349">
        <w:t>has been provided with</w:t>
      </w:r>
      <w:r w:rsidR="00A258BA">
        <w:t xml:space="preserve"> </w:t>
      </w:r>
      <w:r w:rsidR="00101C4D">
        <w:t xml:space="preserve">additional information </w:t>
      </w:r>
      <w:r w:rsidR="00B743EE">
        <w:t>relating to this report.</w:t>
      </w:r>
      <w:r w:rsidR="00C2170D">
        <w:t xml:space="preserve"> Another ward councillor has asked for feedback on any comments received from local residents.</w:t>
      </w:r>
    </w:p>
    <w:p w:rsidR="000C2F41" w:rsidRDefault="000C2F41" w:rsidP="0054590F">
      <w:pPr>
        <w:rPr>
          <w:b/>
        </w:rPr>
      </w:pPr>
    </w:p>
    <w:p w:rsidR="006733C6" w:rsidRPr="000558A8" w:rsidRDefault="006733C6" w:rsidP="0054590F">
      <w:r w:rsidRPr="000558A8">
        <w:t xml:space="preserve">Ward Councillors </w:t>
      </w:r>
      <w:r w:rsidR="008E4F66" w:rsidRPr="000558A8">
        <w:t>will continue to be consulted on the proposals for the sites in their area as they are developed.</w:t>
      </w:r>
      <w:r w:rsidR="00243C44">
        <w:t xml:space="preserve"> This will include requiring Community Led groups to provide updates to Ward Councillors as designs progress, briefing notes on progress and notification of and invitation to resident consultations.</w:t>
      </w:r>
    </w:p>
    <w:p w:rsidR="006733C6" w:rsidRPr="00307F76" w:rsidRDefault="006733C6" w:rsidP="0054590F">
      <w:pPr>
        <w:rPr>
          <w:b/>
        </w:rPr>
      </w:pPr>
    </w:p>
    <w:p w:rsidR="0017779E" w:rsidRPr="0017779E" w:rsidRDefault="00333FAA" w:rsidP="0054590F">
      <w:pPr>
        <w:pStyle w:val="Heading4"/>
        <w:tabs>
          <w:tab w:val="left" w:pos="3600"/>
        </w:tabs>
        <w:rPr>
          <w:szCs w:val="24"/>
        </w:rPr>
      </w:pPr>
      <w:r w:rsidRPr="0017779E">
        <w:rPr>
          <w:szCs w:val="24"/>
        </w:rPr>
        <w:t>Performance Issues</w:t>
      </w:r>
    </w:p>
    <w:p w:rsidR="0017779E" w:rsidRDefault="0017779E" w:rsidP="0054590F">
      <w:pPr>
        <w:pStyle w:val="Heading4"/>
        <w:tabs>
          <w:tab w:val="left" w:pos="3600"/>
        </w:tabs>
        <w:rPr>
          <w:color w:val="0000FF"/>
          <w:szCs w:val="24"/>
        </w:rPr>
      </w:pPr>
    </w:p>
    <w:p w:rsidR="00BC0D46" w:rsidRPr="004E4CCE" w:rsidRDefault="00BC0D46" w:rsidP="00BC0D46">
      <w:pPr>
        <w:ind w:left="720" w:hanging="720"/>
        <w:rPr>
          <w:rFonts w:cs="Arial"/>
        </w:rPr>
      </w:pPr>
      <w:r>
        <w:rPr>
          <w:rFonts w:cs="Arial"/>
        </w:rPr>
        <w:t>5.</w:t>
      </w:r>
      <w:r w:rsidRPr="004E4CCE">
        <w:rPr>
          <w:rFonts w:cs="Arial"/>
        </w:rPr>
        <w:t>1</w:t>
      </w:r>
      <w:r w:rsidRPr="004E4CCE">
        <w:rPr>
          <w:rFonts w:cs="Arial"/>
        </w:rPr>
        <w:tab/>
        <w:t xml:space="preserve">Working with Community Led Housing projects illustrates the positive outcomes that can be achieved when the local authority and community groups work together towards a shared goal of providing opportunities to deliver much needed housing for local community groups.  </w:t>
      </w:r>
    </w:p>
    <w:p w:rsidR="00BC0D46" w:rsidRPr="004E4CCE" w:rsidRDefault="00BC0D46" w:rsidP="00BC0D46">
      <w:pPr>
        <w:rPr>
          <w:rFonts w:cs="Arial"/>
        </w:rPr>
      </w:pPr>
    </w:p>
    <w:p w:rsidR="00BC0D46" w:rsidRPr="004E4CCE" w:rsidRDefault="003179FA" w:rsidP="00BC0D46">
      <w:pPr>
        <w:ind w:left="720" w:hanging="720"/>
        <w:rPr>
          <w:rFonts w:cs="Arial"/>
        </w:rPr>
      </w:pPr>
      <w:r>
        <w:rPr>
          <w:rFonts w:cs="Arial"/>
        </w:rPr>
        <w:t>5.2</w:t>
      </w:r>
      <w:r w:rsidR="00BC0D46" w:rsidRPr="004E4CCE">
        <w:rPr>
          <w:rFonts w:cs="Arial"/>
        </w:rPr>
        <w:tab/>
        <w:t>Disposal of these small sites will contribute towards meeting the Council’s priorities of Building a Better Harrow by increasing the supply of quality housing (Affordable Housing) and keeping Harrow clean.  It will eliminate areas of potential Anti-Social Behaviour to enable Harrow to continue to be one of the safest boroughs in London.</w:t>
      </w:r>
    </w:p>
    <w:p w:rsidR="00BC0D46" w:rsidRPr="004E4CCE" w:rsidRDefault="00BC0D46" w:rsidP="00BC0D46">
      <w:pPr>
        <w:rPr>
          <w:rFonts w:cs="Arial"/>
        </w:rPr>
      </w:pPr>
    </w:p>
    <w:p w:rsidR="00BC0D46" w:rsidRPr="004E4CCE" w:rsidRDefault="00BC0D46" w:rsidP="00BC0D46">
      <w:pPr>
        <w:ind w:left="720" w:hanging="720"/>
        <w:rPr>
          <w:rFonts w:cs="Arial"/>
        </w:rPr>
      </w:pPr>
      <w:r w:rsidRPr="004E4CCE">
        <w:rPr>
          <w:rFonts w:cs="Arial"/>
        </w:rPr>
        <w:t>5.3</w:t>
      </w:r>
      <w:r w:rsidRPr="004E4CCE">
        <w:rPr>
          <w:rFonts w:cs="Arial"/>
        </w:rPr>
        <w:tab/>
        <w:t>Enabling the construction of new homes contributes to meeting the</w:t>
      </w:r>
      <w:r>
        <w:rPr>
          <w:rFonts w:cs="Arial"/>
        </w:rPr>
        <w:t xml:space="preserve"> o</w:t>
      </w:r>
      <w:r w:rsidRPr="004E4CCE">
        <w:rPr>
          <w:rFonts w:cs="Arial"/>
        </w:rPr>
        <w:t>verall housing delivery targets</w:t>
      </w:r>
      <w:r w:rsidR="00EF4349">
        <w:rPr>
          <w:rFonts w:cs="Arial"/>
        </w:rPr>
        <w:t xml:space="preserve"> and the small sites target</w:t>
      </w:r>
      <w:r w:rsidRPr="004E4CCE">
        <w:rPr>
          <w:rFonts w:cs="Arial"/>
        </w:rPr>
        <w:t xml:space="preserve"> set out for Harrow in the London Plan and would be achieved in partnership with the GLA.</w:t>
      </w:r>
    </w:p>
    <w:p w:rsidR="0017779E" w:rsidRDefault="0017779E" w:rsidP="0054590F">
      <w:pPr>
        <w:pStyle w:val="Heading4"/>
        <w:tabs>
          <w:tab w:val="left" w:pos="3600"/>
        </w:tabs>
        <w:rPr>
          <w:color w:val="0000FF"/>
          <w:szCs w:val="24"/>
        </w:rPr>
      </w:pPr>
    </w:p>
    <w:p w:rsidR="00333FAA" w:rsidRPr="0009013D" w:rsidRDefault="00333FAA" w:rsidP="0009013D">
      <w:pPr>
        <w:pStyle w:val="Heading4"/>
        <w:tabs>
          <w:tab w:val="left" w:pos="3600"/>
        </w:tabs>
        <w:rPr>
          <w:color w:val="0000FF"/>
          <w:szCs w:val="24"/>
        </w:rPr>
      </w:pPr>
      <w:r w:rsidRPr="00A258BA">
        <w:rPr>
          <w:szCs w:val="24"/>
        </w:rPr>
        <w:t>Environmental Implications</w:t>
      </w:r>
    </w:p>
    <w:p w:rsidR="00823753" w:rsidRDefault="00823753" w:rsidP="00823753"/>
    <w:p w:rsidR="00D51A76" w:rsidRDefault="003179FA" w:rsidP="0057152E">
      <w:pPr>
        <w:ind w:left="720" w:hanging="720"/>
      </w:pPr>
      <w:r>
        <w:rPr>
          <w:rFonts w:cs="Arial"/>
        </w:rPr>
        <w:t>6.1</w:t>
      </w:r>
      <w:r w:rsidR="00F1222D">
        <w:rPr>
          <w:rFonts w:cs="Arial"/>
        </w:rPr>
        <w:tab/>
      </w:r>
      <w:r w:rsidR="00D51A76">
        <w:t xml:space="preserve">New homes developed by or in partnership with the council will have regard for the Council’s Climate Change Strategy (2019-2024) and aspiration to promote low-carbon living and minimise future energy costs for residents, together with the Council’s Declaration of Climate Emergency and its aim to make the borough Carbon Neutral by 2030. In practice this will mean ensuring new homes have a fabric first approach to minimise energy requirements, installation of heating and hot water systems that maximise use of renewable energy and sustainable drainage systems. </w:t>
      </w:r>
      <w:r w:rsidR="00D51A76" w:rsidRPr="00A258BA">
        <w:t xml:space="preserve">Where possible consideration will also be given to the </w:t>
      </w:r>
      <w:r w:rsidR="00D51A76">
        <w:t xml:space="preserve">installation of green and brown roofs and improving biodiversity </w:t>
      </w:r>
      <w:r w:rsidR="00D51A76" w:rsidRPr="00A258BA">
        <w:t xml:space="preserve">through </w:t>
      </w:r>
      <w:r w:rsidR="00D51A76">
        <w:t xml:space="preserve">increased tree planting. </w:t>
      </w:r>
    </w:p>
    <w:p w:rsidR="00BC0D46" w:rsidRPr="00823753" w:rsidRDefault="00BC0D46" w:rsidP="00823753"/>
    <w:p w:rsidR="00B1160D" w:rsidRDefault="00B1160D" w:rsidP="001C7E35"/>
    <w:p w:rsidR="002A3FEF" w:rsidRPr="003853EF" w:rsidRDefault="002A3FEF" w:rsidP="002A3FEF">
      <w:pPr>
        <w:pStyle w:val="Heading4"/>
        <w:rPr>
          <w:szCs w:val="24"/>
        </w:rPr>
      </w:pPr>
      <w:r w:rsidRPr="003853EF">
        <w:rPr>
          <w:szCs w:val="24"/>
        </w:rPr>
        <w:lastRenderedPageBreak/>
        <w:t>Dat</w:t>
      </w:r>
      <w:r w:rsidR="00DE72CF" w:rsidRPr="003853EF">
        <w:rPr>
          <w:szCs w:val="24"/>
        </w:rPr>
        <w:t>a</w:t>
      </w:r>
      <w:r w:rsidRPr="003853EF">
        <w:rPr>
          <w:szCs w:val="24"/>
        </w:rPr>
        <w:t xml:space="preserve"> Protection Implications</w:t>
      </w:r>
    </w:p>
    <w:p w:rsidR="0009013D" w:rsidRDefault="0009013D" w:rsidP="002A3FEF">
      <w:pPr>
        <w:rPr>
          <w:i/>
        </w:rPr>
      </w:pPr>
    </w:p>
    <w:p w:rsidR="002425A3" w:rsidRPr="00556F6C" w:rsidRDefault="003721D8" w:rsidP="002A3FEF">
      <w:pPr>
        <w:rPr>
          <w:i/>
        </w:rPr>
      </w:pPr>
      <w:r w:rsidRPr="00556F6C">
        <w:rPr>
          <w:i/>
        </w:rPr>
        <w:t>None</w:t>
      </w:r>
    </w:p>
    <w:p w:rsidR="002425A3" w:rsidRPr="002A3FEF" w:rsidRDefault="002425A3" w:rsidP="002A3FEF">
      <w:pPr>
        <w:rPr>
          <w:i/>
          <w:color w:val="FF0000"/>
        </w:rPr>
      </w:pPr>
    </w:p>
    <w:p w:rsidR="00A81E19" w:rsidRDefault="00A81E19" w:rsidP="00A81E19">
      <w:pPr>
        <w:pStyle w:val="Heading2"/>
      </w:pPr>
      <w:r>
        <w:t>Risk Management Implications</w:t>
      </w:r>
    </w:p>
    <w:p w:rsidR="00A81E19" w:rsidRDefault="00A81E19" w:rsidP="00A81E19">
      <w:pPr>
        <w:pStyle w:val="Heading4"/>
        <w:rPr>
          <w:b w:val="0"/>
        </w:rPr>
      </w:pPr>
    </w:p>
    <w:p w:rsidR="0009013D" w:rsidRDefault="00A81E19" w:rsidP="0009013D">
      <w:pPr>
        <w:tabs>
          <w:tab w:val="left" w:pos="5610"/>
        </w:tabs>
        <w:ind w:right="81"/>
        <w:rPr>
          <w:rFonts w:cs="Arial"/>
          <w:szCs w:val="24"/>
          <w:lang w:val="en-US"/>
        </w:rPr>
      </w:pPr>
      <w:r w:rsidRPr="00C07F90">
        <w:rPr>
          <w:rFonts w:cs="Arial"/>
          <w:szCs w:val="24"/>
          <w:lang w:val="en-US"/>
        </w:rPr>
        <w:t xml:space="preserve">Risk included on </w:t>
      </w:r>
      <w:r w:rsidR="00C07F90">
        <w:rPr>
          <w:rFonts w:cs="Arial"/>
          <w:szCs w:val="24"/>
          <w:lang w:val="en-US"/>
        </w:rPr>
        <w:t xml:space="preserve">Directorate risk register?  </w:t>
      </w:r>
      <w:r w:rsidRPr="00C07F90">
        <w:rPr>
          <w:rFonts w:cs="Arial"/>
          <w:szCs w:val="24"/>
          <w:lang w:val="en-US"/>
        </w:rPr>
        <w:t>No</w:t>
      </w:r>
      <w:r w:rsidRPr="00C07F90">
        <w:rPr>
          <w:rFonts w:cs="Arial"/>
          <w:szCs w:val="24"/>
          <w:lang w:val="en-US"/>
        </w:rPr>
        <w:tab/>
      </w:r>
    </w:p>
    <w:p w:rsidR="00A81E19" w:rsidRPr="00C07F90" w:rsidRDefault="00A81E19" w:rsidP="0009013D">
      <w:pPr>
        <w:tabs>
          <w:tab w:val="left" w:pos="5610"/>
        </w:tabs>
        <w:ind w:right="81"/>
        <w:rPr>
          <w:rFonts w:cs="Arial"/>
          <w:szCs w:val="24"/>
          <w:lang w:val="en-US" w:eastAsia="en-GB"/>
        </w:rPr>
      </w:pPr>
      <w:r w:rsidRPr="00C07F90">
        <w:rPr>
          <w:rFonts w:cs="Arial"/>
          <w:szCs w:val="24"/>
          <w:lang w:val="en-US" w:eastAsia="en-GB"/>
        </w:rPr>
        <w:t>Separa</w:t>
      </w:r>
      <w:r w:rsidR="0009013D">
        <w:rPr>
          <w:rFonts w:cs="Arial"/>
          <w:szCs w:val="24"/>
          <w:lang w:val="en-US" w:eastAsia="en-GB"/>
        </w:rPr>
        <w:t>te risk register in place?  No</w:t>
      </w:r>
    </w:p>
    <w:p w:rsidR="00A81E19" w:rsidRPr="00A81E19" w:rsidRDefault="00A81E19" w:rsidP="00A81E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81E19" w:rsidRPr="00421A4C" w:rsidTr="005D548F">
        <w:tc>
          <w:tcPr>
            <w:tcW w:w="8525" w:type="dxa"/>
            <w:shd w:val="clear" w:color="auto" w:fill="auto"/>
          </w:tcPr>
          <w:p w:rsidR="00047936" w:rsidRDefault="00CC6ABB" w:rsidP="0077176B">
            <w:pPr>
              <w:autoSpaceDE w:val="0"/>
              <w:autoSpaceDN w:val="0"/>
              <w:adjustRightInd w:val="0"/>
            </w:pPr>
            <w:r>
              <w:t>The key risks are as follows:</w:t>
            </w:r>
          </w:p>
          <w:p w:rsidR="00047936" w:rsidRDefault="00047936" w:rsidP="005D548F"/>
          <w:tbl>
            <w:tblPr>
              <w:tblStyle w:val="TableGrid"/>
              <w:tblW w:w="0" w:type="auto"/>
              <w:tblLook w:val="04A0" w:firstRow="1" w:lastRow="0" w:firstColumn="1" w:lastColumn="0" w:noHBand="0" w:noVBand="1"/>
            </w:tblPr>
            <w:tblGrid>
              <w:gridCol w:w="2122"/>
              <w:gridCol w:w="6172"/>
            </w:tblGrid>
            <w:tr w:rsidR="00047936" w:rsidRPr="00047936" w:rsidTr="009D248E">
              <w:tc>
                <w:tcPr>
                  <w:tcW w:w="2122" w:type="dxa"/>
                </w:tcPr>
                <w:p w:rsidR="00047936" w:rsidRPr="00644788" w:rsidRDefault="00047936" w:rsidP="00CE2786">
                  <w:pPr>
                    <w:rPr>
                      <w:b/>
                      <w:i/>
                    </w:rPr>
                  </w:pPr>
                  <w:r w:rsidRPr="00644788">
                    <w:rPr>
                      <w:b/>
                      <w:i/>
                    </w:rPr>
                    <w:t>Risk</w:t>
                  </w:r>
                </w:p>
              </w:tc>
              <w:tc>
                <w:tcPr>
                  <w:tcW w:w="6172" w:type="dxa"/>
                </w:tcPr>
                <w:p w:rsidR="00047936" w:rsidRPr="00047936" w:rsidRDefault="00047936" w:rsidP="00CE2786">
                  <w:pPr>
                    <w:rPr>
                      <w:b/>
                      <w:i/>
                      <w:color w:val="7030A0"/>
                    </w:rPr>
                  </w:pPr>
                  <w:r w:rsidRPr="00644788">
                    <w:rPr>
                      <w:b/>
                      <w:i/>
                    </w:rPr>
                    <w:t>Mitigation</w:t>
                  </w:r>
                </w:p>
              </w:tc>
            </w:tr>
            <w:tr w:rsidR="00047936" w:rsidRPr="00047936" w:rsidTr="009D248E">
              <w:tc>
                <w:tcPr>
                  <w:tcW w:w="2122" w:type="dxa"/>
                </w:tcPr>
                <w:p w:rsidR="00047936" w:rsidRPr="00644788" w:rsidRDefault="00F25156" w:rsidP="00F25156">
                  <w:pPr>
                    <w:rPr>
                      <w:i/>
                    </w:rPr>
                  </w:pPr>
                  <w:r>
                    <w:rPr>
                      <w:i/>
                    </w:rPr>
                    <w:t>New homes not easy to let</w:t>
                  </w:r>
                  <w:r w:rsidR="00644788" w:rsidRPr="00644788">
                    <w:rPr>
                      <w:i/>
                    </w:rPr>
                    <w:t xml:space="preserve"> </w:t>
                  </w:r>
                </w:p>
              </w:tc>
              <w:tc>
                <w:tcPr>
                  <w:tcW w:w="6172" w:type="dxa"/>
                </w:tcPr>
                <w:p w:rsidR="00644788" w:rsidRDefault="003179FA" w:rsidP="00D81A77">
                  <w:r>
                    <w:t>The business case from a Community Led Housing</w:t>
                  </w:r>
                  <w:r w:rsidR="00F25156">
                    <w:t xml:space="preserve"> group will need to cover lettings arrangements. </w:t>
                  </w:r>
                  <w:r w:rsidR="00C40D67">
                    <w:t xml:space="preserve">This is not a risk for the council to manage, however may provide an opportunity to the council to receive nominations to any underused units. </w:t>
                  </w:r>
                </w:p>
                <w:p w:rsidR="003179FA" w:rsidRPr="00556F6C" w:rsidRDefault="003179FA" w:rsidP="00D81A77">
                  <w:pPr>
                    <w:rPr>
                      <w:i/>
                      <w:color w:val="7030A0"/>
                    </w:rPr>
                  </w:pPr>
                </w:p>
              </w:tc>
            </w:tr>
            <w:tr w:rsidR="00047936" w:rsidRPr="00047936" w:rsidTr="009D248E">
              <w:tc>
                <w:tcPr>
                  <w:tcW w:w="2122" w:type="dxa"/>
                </w:tcPr>
                <w:p w:rsidR="00047936" w:rsidRPr="00047936" w:rsidRDefault="00047936" w:rsidP="00CE2786">
                  <w:pPr>
                    <w:rPr>
                      <w:i/>
                      <w:color w:val="7030A0"/>
                    </w:rPr>
                  </w:pPr>
                  <w:r w:rsidRPr="005413B7">
                    <w:rPr>
                      <w:i/>
                    </w:rPr>
                    <w:t>Existing residents object to the proposals</w:t>
                  </w:r>
                </w:p>
              </w:tc>
              <w:tc>
                <w:tcPr>
                  <w:tcW w:w="6172" w:type="dxa"/>
                </w:tcPr>
                <w:p w:rsidR="00154053" w:rsidRDefault="003179FA" w:rsidP="00F25156">
                  <w:r>
                    <w:t>Community Led Housing</w:t>
                  </w:r>
                  <w:r w:rsidR="00556F6C">
                    <w:t xml:space="preserve"> projects </w:t>
                  </w:r>
                  <w:r w:rsidR="00F25156">
                    <w:t>will seek pre-application planning advice and consult with local residents through the planning process.</w:t>
                  </w:r>
                  <w:r w:rsidR="00154053" w:rsidRPr="00154053">
                    <w:t xml:space="preserve"> </w:t>
                  </w:r>
                </w:p>
                <w:p w:rsidR="003179FA" w:rsidRPr="005413B7" w:rsidRDefault="003179FA" w:rsidP="00F25156">
                  <w:pPr>
                    <w:rPr>
                      <w:color w:val="7030A0"/>
                    </w:rPr>
                  </w:pPr>
                </w:p>
              </w:tc>
            </w:tr>
            <w:tr w:rsidR="00E60D05" w:rsidRPr="00047936" w:rsidTr="009D248E">
              <w:tc>
                <w:tcPr>
                  <w:tcW w:w="2122" w:type="dxa"/>
                </w:tcPr>
                <w:p w:rsidR="00E60D05" w:rsidRPr="003A625D" w:rsidRDefault="00E60D05" w:rsidP="00CE2786">
                  <w:r w:rsidRPr="00E60D05">
                    <w:t>CLH project becomes insolvent during construction and their lenders step in</w:t>
                  </w:r>
                </w:p>
              </w:tc>
              <w:tc>
                <w:tcPr>
                  <w:tcW w:w="6172" w:type="dxa"/>
                </w:tcPr>
                <w:p w:rsidR="00E60D05" w:rsidRDefault="00E60D05" w:rsidP="00E60D05">
                  <w:r>
                    <w:t>If development is unable to continue during the construction period, the Council will have reserve</w:t>
                  </w:r>
                  <w:r w:rsidR="003179FA">
                    <w:t>d</w:t>
                  </w:r>
                  <w:r>
                    <w:t xml:space="preserve"> rights that will protect its position. These may include the right to get/buy the site back (if desired), and either complete the development itself or find another developer. Alternatively, the agreement t</w:t>
                  </w:r>
                  <w:r w:rsidR="003179FA">
                    <w:t>o d</w:t>
                  </w:r>
                  <w:r>
                    <w:t xml:space="preserve">ispose of the site may only require the Council to complete the </w:t>
                  </w:r>
                  <w:r w:rsidR="003179FA">
                    <w:t xml:space="preserve">freehold </w:t>
                  </w:r>
                  <w:r>
                    <w:t xml:space="preserve">transfer/grant </w:t>
                  </w:r>
                  <w:r w:rsidR="003179FA">
                    <w:t xml:space="preserve">of </w:t>
                  </w:r>
                  <w:r>
                    <w:t>a lease after the development has been completed.</w:t>
                  </w:r>
                </w:p>
                <w:p w:rsidR="00E60D05" w:rsidRDefault="00E60D05" w:rsidP="00E60D05"/>
                <w:p w:rsidR="00E60D05" w:rsidRDefault="00E60D05" w:rsidP="00E60D05">
                  <w:r>
                    <w:t xml:space="preserve">The Council may also seek to place a restrictive use covenant in the lease, requiring the use to be in </w:t>
                  </w:r>
                  <w:r w:rsidR="003179FA">
                    <w:t>line with</w:t>
                  </w:r>
                  <w:r>
                    <w:t xml:space="preserve"> 100% affordable housing. This may mitigate against the site being sold for any other purposes in the event that a Lender wishes to sell the site.</w:t>
                  </w:r>
                </w:p>
                <w:p w:rsidR="003179FA" w:rsidRDefault="003179FA" w:rsidP="00E60D05"/>
              </w:tc>
            </w:tr>
            <w:tr w:rsidR="009D248E" w:rsidRPr="00047936" w:rsidTr="009D248E">
              <w:tc>
                <w:tcPr>
                  <w:tcW w:w="2122" w:type="dxa"/>
                </w:tcPr>
                <w:p w:rsidR="009D248E" w:rsidRPr="00047936" w:rsidRDefault="009D248E" w:rsidP="00CE2786">
                  <w:pPr>
                    <w:rPr>
                      <w:i/>
                      <w:color w:val="7030A0"/>
                    </w:rPr>
                  </w:pPr>
                  <w:r w:rsidRPr="003A625D">
                    <w:t>The quality of completed homes is poor because the council is not designing, specifying or contract managing delivery of the new home</w:t>
                  </w:r>
                </w:p>
              </w:tc>
              <w:tc>
                <w:tcPr>
                  <w:tcW w:w="6172" w:type="dxa"/>
                </w:tcPr>
                <w:p w:rsidR="009D248E" w:rsidRDefault="009D248E" w:rsidP="008B6DD8">
                  <w:r>
                    <w:t>The proposals will be designed in accordance with the London Plan and Harrow planning policy as is required as part of the GLA funding and broader requirements to comply with legislation. Proposals will be reviewed and monitored by all relevant stakeholders and authorities to ensure compliance.</w:t>
                  </w:r>
                </w:p>
                <w:p w:rsidR="009D248E" w:rsidRDefault="009D248E" w:rsidP="008B6DD8">
                  <w:r>
                    <w:t xml:space="preserve"> </w:t>
                  </w:r>
                </w:p>
                <w:p w:rsidR="009D248E" w:rsidRDefault="009D248E" w:rsidP="008B6DD8"/>
                <w:p w:rsidR="009D248E" w:rsidRDefault="009D248E" w:rsidP="008B6DD8">
                  <w:pPr>
                    <w:rPr>
                      <w:i/>
                      <w:color w:val="7030A0"/>
                    </w:rPr>
                  </w:pPr>
                </w:p>
                <w:p w:rsidR="009D248E" w:rsidRDefault="009D248E" w:rsidP="008B6DD8">
                  <w:pPr>
                    <w:rPr>
                      <w:i/>
                      <w:color w:val="7030A0"/>
                    </w:rPr>
                  </w:pPr>
                </w:p>
                <w:p w:rsidR="009D248E" w:rsidRPr="00154053" w:rsidRDefault="009D248E" w:rsidP="000843C8">
                  <w:pPr>
                    <w:rPr>
                      <w:color w:val="7030A0"/>
                    </w:rPr>
                  </w:pPr>
                </w:p>
              </w:tc>
            </w:tr>
            <w:tr w:rsidR="009D248E" w:rsidRPr="00047936" w:rsidTr="009D248E">
              <w:tc>
                <w:tcPr>
                  <w:tcW w:w="2122" w:type="dxa"/>
                </w:tcPr>
                <w:p w:rsidR="009D248E" w:rsidRPr="003A625D" w:rsidRDefault="009D248E" w:rsidP="00CE2786">
                  <w:pPr>
                    <w:rPr>
                      <w:color w:val="7030A0"/>
                    </w:rPr>
                  </w:pPr>
                  <w:r w:rsidRPr="00F32C1B">
                    <w:t xml:space="preserve">The total construction cost is not affordable </w:t>
                  </w:r>
                  <w:r w:rsidRPr="00F32C1B">
                    <w:lastRenderedPageBreak/>
                    <w:t xml:space="preserve">to </w:t>
                  </w:r>
                  <w:r>
                    <w:t>the CLH project</w:t>
                  </w:r>
                </w:p>
              </w:tc>
              <w:tc>
                <w:tcPr>
                  <w:tcW w:w="6172" w:type="dxa"/>
                </w:tcPr>
                <w:p w:rsidR="009D248E" w:rsidRDefault="003179FA" w:rsidP="00B259B5">
                  <w:r>
                    <w:lastRenderedPageBreak/>
                    <w:t>Community Led Housing</w:t>
                  </w:r>
                  <w:r w:rsidR="009D248E">
                    <w:t xml:space="preserve"> schemes will be required to provide robust financial modelling for their schemes along with their plans prior to any land disposal.</w:t>
                  </w:r>
                </w:p>
                <w:p w:rsidR="009D248E" w:rsidRDefault="009D248E" w:rsidP="00B259B5"/>
                <w:p w:rsidR="009D248E" w:rsidRPr="00047936" w:rsidRDefault="009D248E" w:rsidP="008B6DD8">
                  <w:pPr>
                    <w:rPr>
                      <w:i/>
                      <w:color w:val="7030A0"/>
                    </w:rPr>
                  </w:pPr>
                </w:p>
              </w:tc>
            </w:tr>
            <w:tr w:rsidR="009D248E" w:rsidRPr="00047936" w:rsidTr="009D248E">
              <w:tc>
                <w:tcPr>
                  <w:tcW w:w="2122" w:type="dxa"/>
                </w:tcPr>
                <w:p w:rsidR="009D248E" w:rsidRPr="00F32C1B" w:rsidRDefault="009D248E" w:rsidP="00CE2786">
                  <w:r w:rsidRPr="00F32C1B">
                    <w:lastRenderedPageBreak/>
                    <w:t>Grant is not made available for the schemes to build their new homes</w:t>
                  </w:r>
                </w:p>
                <w:p w:rsidR="009D248E" w:rsidRPr="00F32C1B" w:rsidRDefault="009D248E" w:rsidP="00D81A77">
                  <w:pPr>
                    <w:rPr>
                      <w:color w:val="7030A0"/>
                    </w:rPr>
                  </w:pPr>
                </w:p>
              </w:tc>
              <w:tc>
                <w:tcPr>
                  <w:tcW w:w="6172" w:type="dxa"/>
                </w:tcPr>
                <w:p w:rsidR="009D248E" w:rsidRDefault="003179FA" w:rsidP="00CE2786">
                  <w:r>
                    <w:t>Community Led Housing</w:t>
                  </w:r>
                  <w:r w:rsidR="009D248E" w:rsidRPr="00F32C1B">
                    <w:t xml:space="preserve"> schemes will be responsible to confirm and agree Grant availability with the GLA before final Agreements are signed. </w:t>
                  </w:r>
                </w:p>
                <w:p w:rsidR="009D248E" w:rsidRDefault="009D248E" w:rsidP="00B259B5"/>
                <w:p w:rsidR="003179FA" w:rsidRPr="003179FA" w:rsidRDefault="009D248E" w:rsidP="00B259B5">
                  <w:r w:rsidRPr="00B259B5">
                    <w:t xml:space="preserve">If grant funding is not available or reduced for the scheme, the scheme financial modelling will be re-worked </w:t>
                  </w:r>
                  <w:r w:rsidR="003179FA">
                    <w:t>by the Community</w:t>
                  </w:r>
                  <w:r>
                    <w:t xml:space="preserve"> group </w:t>
                  </w:r>
                  <w:r w:rsidRPr="00B259B5">
                    <w:t>to see how this impacts on the viability of the scheme.</w:t>
                  </w:r>
                </w:p>
              </w:tc>
            </w:tr>
            <w:tr w:rsidR="009D248E" w:rsidRPr="00047936" w:rsidTr="009D248E">
              <w:tc>
                <w:tcPr>
                  <w:tcW w:w="2122" w:type="dxa"/>
                </w:tcPr>
                <w:p w:rsidR="009D248E" w:rsidRPr="00047936" w:rsidRDefault="009D248E" w:rsidP="00CE2786">
                  <w:pPr>
                    <w:rPr>
                      <w:i/>
                      <w:color w:val="7030A0"/>
                    </w:rPr>
                  </w:pPr>
                  <w:r>
                    <w:t>In the case where a CLH group disbands, who will govern the scheme?</w:t>
                  </w:r>
                </w:p>
              </w:tc>
              <w:tc>
                <w:tcPr>
                  <w:tcW w:w="6172" w:type="dxa"/>
                </w:tcPr>
                <w:p w:rsidR="009D248E" w:rsidRPr="00335EA3" w:rsidRDefault="009D248E" w:rsidP="00335EA3">
                  <w:r>
                    <w:t>A group can</w:t>
                  </w:r>
                  <w:r w:rsidR="003179FA">
                    <w:t xml:space="preserve"> seek consent from the C</w:t>
                  </w:r>
                  <w:r w:rsidRPr="00335EA3">
                    <w:t>ouncil to transfer governance of the scheme to a comparable alternative third sector organisation to manage the scheme under exactly the same terms</w:t>
                  </w:r>
                  <w:r>
                    <w:t xml:space="preserve"> previously</w:t>
                  </w:r>
                  <w:r w:rsidRPr="00335EA3">
                    <w:t xml:space="preserve"> agreed with the Council.</w:t>
                  </w:r>
                </w:p>
                <w:p w:rsidR="009D248E" w:rsidRPr="00335EA3" w:rsidRDefault="009D248E" w:rsidP="00335EA3"/>
                <w:p w:rsidR="009D248E" w:rsidRPr="00047936" w:rsidRDefault="009D248E" w:rsidP="00B259B5">
                  <w:pPr>
                    <w:rPr>
                      <w:i/>
                      <w:color w:val="7030A0"/>
                    </w:rPr>
                  </w:pPr>
                  <w:r>
                    <w:t>A group can</w:t>
                  </w:r>
                  <w:r w:rsidRPr="00335EA3">
                    <w:t xml:space="preserve"> take on new members to ensure there is continuity.</w:t>
                  </w:r>
                </w:p>
              </w:tc>
            </w:tr>
            <w:tr w:rsidR="009D248E" w:rsidRPr="00047936" w:rsidTr="009D248E">
              <w:tc>
                <w:tcPr>
                  <w:tcW w:w="2122" w:type="dxa"/>
                </w:tcPr>
                <w:p w:rsidR="009D248E" w:rsidRDefault="00E60D05" w:rsidP="00D81A77">
                  <w:r w:rsidRPr="00E60D05">
                    <w:t>The developments stalls after disposal</w:t>
                  </w:r>
                </w:p>
              </w:tc>
              <w:tc>
                <w:tcPr>
                  <w:tcW w:w="6172" w:type="dxa"/>
                </w:tcPr>
                <w:p w:rsidR="00394A10" w:rsidRPr="003179FA" w:rsidRDefault="00E60D05" w:rsidP="00394A10">
                  <w:pPr>
                    <w:rPr>
                      <w:color w:val="FF0000"/>
                    </w:rPr>
                  </w:pPr>
                  <w:r w:rsidRPr="00E60D05">
                    <w:t xml:space="preserve">There is a risk that the development does not occur after the transfer of the property. Officers will ensure there has been sufficient due diligence on the deliverability of schemes including planning pre-applications and site surveys, before </w:t>
                  </w:r>
                  <w:r w:rsidR="00062956">
                    <w:t xml:space="preserve"> disposing of the freehold or </w:t>
                  </w:r>
                  <w:r w:rsidRPr="00E60D05">
                    <w:t>entering into conditional lease agreements, where the long lease will be granted subject to planning permission and development finance being in place. The leases will include a provision for the council to take the sites back if material development has not occurred within an agreed time period.  Alternatively, the Council initially may only grant permission to develop the sites and only complete the transfer/grant a lease of the sites after the development has been completed.</w:t>
                  </w:r>
                </w:p>
                <w:p w:rsidR="00394A10" w:rsidRPr="00335EA3" w:rsidRDefault="00394A10" w:rsidP="00B958B6">
                  <w:pPr>
                    <w:rPr>
                      <w:color w:val="7030A0"/>
                      <w:highlight w:val="yellow"/>
                    </w:rPr>
                  </w:pPr>
                </w:p>
              </w:tc>
            </w:tr>
          </w:tbl>
          <w:p w:rsidR="00047936" w:rsidRPr="008A738C" w:rsidRDefault="00047936" w:rsidP="005D548F">
            <w:pPr>
              <w:rPr>
                <w:lang w:eastAsia="en-GB"/>
              </w:rPr>
            </w:pPr>
          </w:p>
          <w:p w:rsidR="00A81E19" w:rsidRDefault="00A81E19" w:rsidP="005D548F">
            <w:pPr>
              <w:pStyle w:val="Heading4"/>
            </w:pPr>
          </w:p>
          <w:p w:rsidR="00307F76" w:rsidRPr="00307F76" w:rsidRDefault="00307F76" w:rsidP="00554872"/>
        </w:tc>
      </w:tr>
    </w:tbl>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2A3FEF" w:rsidRPr="002A3FEF" w:rsidRDefault="002A3FEF" w:rsidP="002A3FEF"/>
    <w:p w:rsidR="00AA35D1" w:rsidRDefault="00A573AB" w:rsidP="00AA35D1">
      <w:r w:rsidRPr="00421A4C">
        <w:rPr>
          <w:color w:val="FF0000"/>
        </w:rPr>
        <w:t xml:space="preserve"> </w:t>
      </w:r>
      <w:r w:rsidR="00AA35D1" w:rsidRPr="00A573AB">
        <w:t xml:space="preserve">There are no procurement issues associated with this proposal for land disposal.  </w:t>
      </w:r>
    </w:p>
    <w:p w:rsidR="00AA35D1" w:rsidRDefault="00AA35D1" w:rsidP="00AA35D1"/>
    <w:p w:rsidR="00A573AB" w:rsidRDefault="00A573AB" w:rsidP="00A573AB"/>
    <w:p w:rsidR="00333FAA" w:rsidRPr="003179FA" w:rsidRDefault="00333FAA" w:rsidP="003179FA">
      <w:pPr>
        <w:pStyle w:val="Heading2"/>
      </w:pPr>
      <w:r w:rsidRPr="00AA35D1">
        <w:t>Legal Implications</w:t>
      </w:r>
    </w:p>
    <w:p w:rsidR="0054590F" w:rsidRPr="003179FA" w:rsidRDefault="0054590F" w:rsidP="003179FA">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rsidTr="00421A4C">
        <w:tc>
          <w:tcPr>
            <w:tcW w:w="8525" w:type="dxa"/>
            <w:shd w:val="clear" w:color="auto" w:fill="auto"/>
          </w:tcPr>
          <w:p w:rsidR="000574E6" w:rsidRPr="003179FA" w:rsidRDefault="005D1DBD" w:rsidP="000574E6">
            <w:pPr>
              <w:rPr>
                <w:b/>
                <w:color w:val="7030A0"/>
              </w:rPr>
            </w:pPr>
            <w:r w:rsidRPr="005D1DBD">
              <w:rPr>
                <w:rFonts w:cs="Arial"/>
              </w:rPr>
              <w:t xml:space="preserve">S.32 Housing Act 1985 (the Act) gives local authorities power to Dispose of land held for the purposes of Part II of the Act (housing land) with the consent of the Secretary of State. The General Housing Consent 2013 issued by the Secretary of State gives consent to local authorities to Dispose of housing land for a consideration equal to its market value and to Dispose of vacant land. Although the General Housing Consent does not place conditions on the Disposal of vacant housing land, any Disposal of land at less than market </w:t>
            </w:r>
            <w:r w:rsidRPr="005D1DBD">
              <w:rPr>
                <w:rFonts w:cs="Arial"/>
              </w:rPr>
              <w:lastRenderedPageBreak/>
              <w:t>value needs to be for a purpose which is likely to help secure the promotion or improvement of the economic, social or environmental well-being of a local authority’s area and that the undervalue should not exceed £2,000,000 (two million pounds).  The Council’s Constitution requires that any Disposal of land for</w:t>
            </w:r>
            <w:r w:rsidR="003179FA">
              <w:rPr>
                <w:rFonts w:cs="Arial"/>
              </w:rPr>
              <w:t xml:space="preserve"> less than best consideration </w:t>
            </w:r>
            <w:r w:rsidR="003179FA" w:rsidRPr="005D1DBD">
              <w:rPr>
                <w:rFonts w:cs="Arial"/>
              </w:rPr>
              <w:t>be</w:t>
            </w:r>
            <w:r w:rsidRPr="005D1DBD">
              <w:rPr>
                <w:rFonts w:cs="Arial"/>
              </w:rPr>
              <w:t xml:space="preserve"> authorised by the Cabinet. Any Disposal of land by the Council at less than market value should also comply with state aid rules. In addition, if any of the sites consists or forms part of an open space, the Council will need to advertise and consider any objections to the Disposal.</w:t>
            </w:r>
          </w:p>
        </w:tc>
      </w:tr>
    </w:tbl>
    <w:p w:rsidR="0054590F" w:rsidRDefault="0054590F" w:rsidP="001C7E35">
      <w:pPr>
        <w:pStyle w:val="Heading4"/>
        <w:rPr>
          <w:b w:val="0"/>
        </w:rPr>
      </w:pPr>
    </w:p>
    <w:p w:rsidR="001C7E35" w:rsidRPr="001C7E35" w:rsidRDefault="001C7E35" w:rsidP="001C7E35"/>
    <w:p w:rsidR="00333FAA" w:rsidRDefault="00333FAA" w:rsidP="00333FAA">
      <w:pPr>
        <w:pStyle w:val="Heading2"/>
      </w:pPr>
      <w:r>
        <w:t>Financial Implications</w:t>
      </w:r>
    </w:p>
    <w:p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Tr="00421A4C">
        <w:tc>
          <w:tcPr>
            <w:tcW w:w="8525" w:type="dxa"/>
            <w:shd w:val="clear" w:color="auto" w:fill="auto"/>
          </w:tcPr>
          <w:p w:rsidR="006C580A" w:rsidRDefault="006C580A" w:rsidP="0054590F"/>
          <w:p w:rsidR="00275DDF" w:rsidRDefault="00275DDF" w:rsidP="00275DDF">
            <w:pPr>
              <w:pStyle w:val="ListParagraph"/>
              <w:numPr>
                <w:ilvl w:val="0"/>
                <w:numId w:val="20"/>
              </w:numPr>
            </w:pPr>
            <w:r>
              <w:t xml:space="preserve">Based on current estimates and assumptions </w:t>
            </w:r>
            <w:r w:rsidR="00B05B20">
              <w:t>it is not cost effective or in the Council’s interest to repair the garages to a standard which would make them lettable as the rental income is unlikely to outweigh the benefit to the Council of higher</w:t>
            </w:r>
            <w:r w:rsidR="00F664F9">
              <w:t xml:space="preserve"> housing supply from Community L</w:t>
            </w:r>
            <w:r w:rsidR="00B05B20">
              <w:t>ed organisations.</w:t>
            </w:r>
          </w:p>
          <w:p w:rsidR="002E2026" w:rsidRDefault="002E2026" w:rsidP="00CB4A2A">
            <w:pPr>
              <w:pStyle w:val="ListParagraph"/>
            </w:pPr>
          </w:p>
          <w:p w:rsidR="002E2026" w:rsidRDefault="002E2026" w:rsidP="00275DDF">
            <w:pPr>
              <w:pStyle w:val="ListParagraph"/>
              <w:numPr>
                <w:ilvl w:val="0"/>
                <w:numId w:val="20"/>
              </w:numPr>
            </w:pPr>
            <w:r>
              <w:t xml:space="preserve">Disposal at less than market value is permitted, </w:t>
            </w:r>
            <w:r w:rsidRPr="005D1DBD">
              <w:t>as confirmed in Legal implication</w:t>
            </w:r>
            <w:r w:rsidR="003179FA">
              <w:t>s</w:t>
            </w:r>
            <w:r w:rsidRPr="005D1DBD">
              <w:t>, if it is demonstrated this will secure best advantage for the Council; this is c</w:t>
            </w:r>
            <w:r>
              <w:t>onsidered the case given the investment requirements and relatively low rental yields should the land and garages be retained by the Council.</w:t>
            </w:r>
          </w:p>
          <w:p w:rsidR="00275DDF" w:rsidRDefault="00275DDF" w:rsidP="00275DDF">
            <w:pPr>
              <w:pStyle w:val="ListParagraph"/>
            </w:pPr>
          </w:p>
          <w:p w:rsidR="00275DDF" w:rsidRDefault="00275DDF" w:rsidP="00275DDF">
            <w:pPr>
              <w:pStyle w:val="ListParagraph"/>
              <w:numPr>
                <w:ilvl w:val="0"/>
                <w:numId w:val="20"/>
              </w:numPr>
            </w:pPr>
            <w:r>
              <w:t>Disposal proceeds are not subject to pooling and the capital receipt can be retained in the HRA to fund capital expenditure thereby reducing the requirement to borrow;</w:t>
            </w:r>
          </w:p>
          <w:p w:rsidR="00275DDF" w:rsidRDefault="00275DDF" w:rsidP="00275DDF">
            <w:pPr>
              <w:pStyle w:val="ListParagraph"/>
            </w:pPr>
          </w:p>
          <w:p w:rsidR="00275DDF" w:rsidRDefault="00275DDF" w:rsidP="00275DDF">
            <w:pPr>
              <w:pStyle w:val="ListParagraph"/>
              <w:numPr>
                <w:ilvl w:val="0"/>
                <w:numId w:val="20"/>
              </w:numPr>
            </w:pPr>
            <w:r>
              <w:t xml:space="preserve">Disposal of sites will be exempt from VAT unless </w:t>
            </w:r>
            <w:r w:rsidR="003179FA">
              <w:t xml:space="preserve">the </w:t>
            </w:r>
            <w:r>
              <w:t>Council exercises option to tax in which case purchaser will have to pay 20% VAT;</w:t>
            </w:r>
          </w:p>
          <w:p w:rsidR="00275DDF" w:rsidRDefault="00275DDF" w:rsidP="00275DDF">
            <w:pPr>
              <w:pStyle w:val="ListParagraph"/>
            </w:pPr>
          </w:p>
          <w:p w:rsidR="00275DDF" w:rsidRDefault="003179FA" w:rsidP="00275DDF">
            <w:pPr>
              <w:pStyle w:val="ListParagraph"/>
              <w:numPr>
                <w:ilvl w:val="0"/>
                <w:numId w:val="20"/>
              </w:numPr>
            </w:pPr>
            <w:r>
              <w:t xml:space="preserve">The </w:t>
            </w:r>
            <w:r w:rsidR="00275DDF">
              <w:t xml:space="preserve">Council will exercise option to tax if </w:t>
            </w:r>
            <w:r w:rsidR="00B05B20">
              <w:t xml:space="preserve">it incurs </w:t>
            </w:r>
            <w:r w:rsidR="00275DDF">
              <w:t>significant pre-disposal expenditure on which it needs to recover VAT;</w:t>
            </w:r>
          </w:p>
          <w:p w:rsidR="00275DDF" w:rsidRDefault="00275DDF" w:rsidP="00275DDF">
            <w:pPr>
              <w:pStyle w:val="ListParagraph"/>
            </w:pPr>
          </w:p>
          <w:p w:rsidR="001933C3" w:rsidRPr="00F664F9" w:rsidRDefault="00275DDF" w:rsidP="001C7E35">
            <w:pPr>
              <w:pStyle w:val="ListParagraph"/>
              <w:numPr>
                <w:ilvl w:val="0"/>
                <w:numId w:val="20"/>
              </w:numPr>
            </w:pPr>
            <w:r>
              <w:t>No incremental revenue savings anticipated as a result of disposal of sites.</w:t>
            </w:r>
          </w:p>
          <w:p w:rsidR="001933C3" w:rsidRPr="001933C3" w:rsidRDefault="001933C3" w:rsidP="001C7E35">
            <w:pPr>
              <w:rPr>
                <w:b/>
              </w:rPr>
            </w:pPr>
          </w:p>
        </w:tc>
      </w:tr>
    </w:tbl>
    <w:p w:rsidR="0054590F" w:rsidRDefault="0054590F" w:rsidP="001C7E35"/>
    <w:p w:rsidR="00945AB0" w:rsidRPr="00945AB0" w:rsidRDefault="00945AB0" w:rsidP="00945AB0"/>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79284C" w:rsidRDefault="0079284C" w:rsidP="001966D7">
      <w:pPr>
        <w:rPr>
          <w:i/>
          <w:color w:val="0000FF"/>
        </w:rPr>
      </w:pPr>
    </w:p>
    <w:p w:rsidR="00FD7C48" w:rsidRDefault="00F464CA" w:rsidP="00FD7C48">
      <w:r w:rsidRPr="00F464CA">
        <w:t>There is no requirement for an EqIA relating to this land disposal proposal.</w:t>
      </w:r>
    </w:p>
    <w:p w:rsidR="00FD7C48" w:rsidRDefault="00FD7C48" w:rsidP="001966D7"/>
    <w:p w:rsidR="00333FAA" w:rsidRPr="009117F2" w:rsidRDefault="00333FAA" w:rsidP="00333FAA">
      <w:pPr>
        <w:rPr>
          <w:b/>
          <w:sz w:val="28"/>
          <w:szCs w:val="28"/>
        </w:rPr>
      </w:pPr>
      <w:r w:rsidRPr="00A77D50">
        <w:rPr>
          <w:b/>
          <w:sz w:val="28"/>
          <w:szCs w:val="28"/>
        </w:rPr>
        <w:t>Council Priorities</w:t>
      </w:r>
    </w:p>
    <w:p w:rsidR="00333FAA" w:rsidRDefault="00333FAA" w:rsidP="00333FAA"/>
    <w:p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rsidR="00365B75" w:rsidRPr="00E65370" w:rsidRDefault="00365B75" w:rsidP="00365B75"/>
    <w:p w:rsidR="00BC0D46" w:rsidRPr="004E4CCE" w:rsidRDefault="00BC0D46" w:rsidP="00BC0D46">
      <w:pPr>
        <w:ind w:left="1440" w:hanging="720"/>
        <w:rPr>
          <w:rFonts w:cs="Arial"/>
        </w:rPr>
      </w:pPr>
      <w:r w:rsidRPr="004E4CCE">
        <w:rPr>
          <w:rFonts w:cs="Arial"/>
        </w:rPr>
        <w:t>1.</w:t>
      </w:r>
      <w:r w:rsidRPr="004E4CCE">
        <w:rPr>
          <w:rFonts w:cs="Arial"/>
        </w:rPr>
        <w:tab/>
        <w:t>Building a Better Harrow – provi</w:t>
      </w:r>
      <w:r>
        <w:rPr>
          <w:rFonts w:cs="Arial"/>
        </w:rPr>
        <w:t xml:space="preserve">sion of additional housing will </w:t>
      </w:r>
      <w:r w:rsidRPr="004E4CCE">
        <w:rPr>
          <w:rFonts w:cs="Arial"/>
        </w:rPr>
        <w:t>Increase the supply of quality housing for Harrow residents and help to keep Harrow clean</w:t>
      </w:r>
    </w:p>
    <w:p w:rsidR="00BC0D46" w:rsidRPr="004E4CCE" w:rsidRDefault="00BC0D46" w:rsidP="00BC0D46">
      <w:pPr>
        <w:ind w:left="720"/>
        <w:rPr>
          <w:rFonts w:cs="Arial"/>
        </w:rPr>
      </w:pPr>
    </w:p>
    <w:p w:rsidR="00BC0D46" w:rsidRPr="004E4CCE" w:rsidRDefault="00BC0D46" w:rsidP="00BC0D46">
      <w:pPr>
        <w:ind w:left="1440" w:hanging="720"/>
        <w:rPr>
          <w:rFonts w:cs="Arial"/>
        </w:rPr>
      </w:pPr>
      <w:r w:rsidRPr="004E4CCE">
        <w:rPr>
          <w:rFonts w:cs="Arial"/>
        </w:rPr>
        <w:lastRenderedPageBreak/>
        <w:t>2.</w:t>
      </w:r>
      <w:r w:rsidRPr="004E4CCE">
        <w:rPr>
          <w:rFonts w:cs="Arial"/>
        </w:rPr>
        <w:tab/>
        <w:t>Protecting Vital Public Services – redevelopment of underused garage sites will contribute to ensuring that Harrow continues to be one of the safest boroughs in London</w:t>
      </w:r>
    </w:p>
    <w:p w:rsidR="00D07F46" w:rsidRDefault="00D07F46" w:rsidP="00F664F9">
      <w:pPr>
        <w:autoSpaceDE w:val="0"/>
        <w:autoSpaceDN w:val="0"/>
        <w:contextualSpacing/>
      </w:pPr>
    </w:p>
    <w:p w:rsidR="00307F76" w:rsidRDefault="00307F76" w:rsidP="00307F76"/>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2"/>
        <w:gridCol w:w="65"/>
        <w:gridCol w:w="380"/>
        <w:gridCol w:w="48"/>
        <w:gridCol w:w="223"/>
        <w:gridCol w:w="28"/>
        <w:gridCol w:w="4131"/>
      </w:tblGrid>
      <w:tr w:rsidR="00333FAA" w:rsidTr="00AA35D1">
        <w:tc>
          <w:tcPr>
            <w:tcW w:w="5047"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428" w:type="dxa"/>
            <w:gridSpan w:val="2"/>
            <w:tcBorders>
              <w:left w:val="nil"/>
              <w:right w:val="nil"/>
            </w:tcBorders>
          </w:tcPr>
          <w:p w:rsidR="00333FAA" w:rsidRDefault="00333FAA" w:rsidP="00A53B04">
            <w:pPr>
              <w:pStyle w:val="Infotext"/>
            </w:pPr>
          </w:p>
        </w:tc>
        <w:tc>
          <w:tcPr>
            <w:tcW w:w="251" w:type="dxa"/>
            <w:gridSpan w:val="2"/>
            <w:tcBorders>
              <w:left w:val="nil"/>
              <w:bottom w:val="nil"/>
              <w:right w:val="nil"/>
            </w:tcBorders>
          </w:tcPr>
          <w:p w:rsidR="00333FAA" w:rsidRDefault="00333FAA" w:rsidP="00A53B04">
            <w:pPr>
              <w:pStyle w:val="Infotext"/>
            </w:pPr>
          </w:p>
        </w:tc>
        <w:tc>
          <w:tcPr>
            <w:tcW w:w="4131"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AA35D1">
        <w:tc>
          <w:tcPr>
            <w:tcW w:w="5047" w:type="dxa"/>
            <w:gridSpan w:val="2"/>
            <w:tcBorders>
              <w:top w:val="nil"/>
              <w:bottom w:val="nil"/>
            </w:tcBorders>
          </w:tcPr>
          <w:p w:rsidR="00333FAA" w:rsidRDefault="00333FAA" w:rsidP="00C243D6">
            <w:pPr>
              <w:pStyle w:val="Infotext"/>
            </w:pPr>
            <w:r>
              <w:t>Name:</w:t>
            </w:r>
            <w:r w:rsidR="00DB6C3D">
              <w:t xml:space="preserve"> </w:t>
            </w:r>
            <w:r w:rsidR="00A20D78">
              <w:t xml:space="preserve"> </w:t>
            </w:r>
            <w:r w:rsidR="00C243D6" w:rsidRPr="00C243D6">
              <w:t xml:space="preserve">Tasleem Kazmi </w:t>
            </w:r>
          </w:p>
        </w:tc>
        <w:tc>
          <w:tcPr>
            <w:tcW w:w="428" w:type="dxa"/>
            <w:gridSpan w:val="2"/>
            <w:tcBorders>
              <w:bottom w:val="single" w:sz="4" w:space="0" w:color="auto"/>
            </w:tcBorders>
          </w:tcPr>
          <w:p w:rsidR="00333FAA" w:rsidRDefault="00AA35D1" w:rsidP="00A53B04">
            <w:pPr>
              <w:pStyle w:val="Infotext"/>
            </w:pPr>
            <w:r>
              <w:t>X</w:t>
            </w:r>
          </w:p>
        </w:tc>
        <w:tc>
          <w:tcPr>
            <w:tcW w:w="251" w:type="dxa"/>
            <w:gridSpan w:val="2"/>
            <w:tcBorders>
              <w:top w:val="nil"/>
              <w:bottom w:val="nil"/>
              <w:right w:val="nil"/>
            </w:tcBorders>
          </w:tcPr>
          <w:p w:rsidR="00333FAA" w:rsidRDefault="00333FAA" w:rsidP="00A53B04">
            <w:pPr>
              <w:pStyle w:val="Infotext"/>
            </w:pPr>
          </w:p>
        </w:tc>
        <w:tc>
          <w:tcPr>
            <w:tcW w:w="4131" w:type="dxa"/>
            <w:tcBorders>
              <w:top w:val="nil"/>
              <w:left w:val="nil"/>
              <w:bottom w:val="nil"/>
            </w:tcBorders>
          </w:tcPr>
          <w:p w:rsidR="00333FAA" w:rsidRDefault="00333FAA" w:rsidP="00A53B04">
            <w:pPr>
              <w:pStyle w:val="Infotext"/>
            </w:pPr>
            <w:r>
              <w:t>Chief Financial Officer</w:t>
            </w:r>
          </w:p>
        </w:tc>
      </w:tr>
      <w:tr w:rsidR="00333FAA" w:rsidTr="00AA35D1">
        <w:tc>
          <w:tcPr>
            <w:tcW w:w="5047" w:type="dxa"/>
            <w:gridSpan w:val="2"/>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C243D6">
              <w:t>10/</w:t>
            </w:r>
            <w:r w:rsidR="00AA35D1">
              <w:t>0</w:t>
            </w:r>
            <w:r w:rsidR="00C243D6">
              <w:t>2/20</w:t>
            </w:r>
            <w:r w:rsidR="00AA35D1">
              <w:t>20</w:t>
            </w:r>
          </w:p>
        </w:tc>
        <w:tc>
          <w:tcPr>
            <w:tcW w:w="428" w:type="dxa"/>
            <w:gridSpan w:val="2"/>
            <w:tcBorders>
              <w:left w:val="nil"/>
              <w:bottom w:val="single" w:sz="4" w:space="0" w:color="auto"/>
              <w:right w:val="nil"/>
            </w:tcBorders>
          </w:tcPr>
          <w:p w:rsidR="00333FAA" w:rsidRDefault="00333FAA" w:rsidP="00A53B04">
            <w:pPr>
              <w:pStyle w:val="Infotext"/>
            </w:pPr>
          </w:p>
        </w:tc>
        <w:tc>
          <w:tcPr>
            <w:tcW w:w="251" w:type="dxa"/>
            <w:gridSpan w:val="2"/>
            <w:tcBorders>
              <w:top w:val="nil"/>
              <w:left w:val="nil"/>
              <w:right w:val="nil"/>
            </w:tcBorders>
          </w:tcPr>
          <w:p w:rsidR="00333FAA" w:rsidRDefault="00333FAA" w:rsidP="00A53B04">
            <w:pPr>
              <w:pStyle w:val="Infotext"/>
            </w:pPr>
          </w:p>
        </w:tc>
        <w:tc>
          <w:tcPr>
            <w:tcW w:w="4131" w:type="dxa"/>
            <w:tcBorders>
              <w:top w:val="nil"/>
              <w:left w:val="nil"/>
            </w:tcBorders>
          </w:tcPr>
          <w:p w:rsidR="00333FAA" w:rsidRDefault="00333FAA" w:rsidP="00A53B04">
            <w:pPr>
              <w:pStyle w:val="Infotext"/>
            </w:pPr>
          </w:p>
        </w:tc>
      </w:tr>
      <w:tr w:rsidR="00333FAA" w:rsidTr="00AA35D1">
        <w:tc>
          <w:tcPr>
            <w:tcW w:w="5047" w:type="dxa"/>
            <w:gridSpan w:val="2"/>
            <w:tcBorders>
              <w:bottom w:val="nil"/>
              <w:right w:val="nil"/>
            </w:tcBorders>
          </w:tcPr>
          <w:p w:rsidR="00333FAA" w:rsidRDefault="00333FAA" w:rsidP="00A53B04">
            <w:pPr>
              <w:pStyle w:val="Infotext"/>
            </w:pPr>
          </w:p>
          <w:p w:rsidR="00333FAA" w:rsidRDefault="00333FAA" w:rsidP="00A53B04">
            <w:pPr>
              <w:pStyle w:val="Infotext"/>
            </w:pPr>
          </w:p>
        </w:tc>
        <w:tc>
          <w:tcPr>
            <w:tcW w:w="428" w:type="dxa"/>
            <w:gridSpan w:val="2"/>
            <w:tcBorders>
              <w:left w:val="nil"/>
              <w:right w:val="nil"/>
            </w:tcBorders>
          </w:tcPr>
          <w:p w:rsidR="00333FAA" w:rsidRDefault="00333FAA" w:rsidP="00A53B04">
            <w:pPr>
              <w:pStyle w:val="Infotext"/>
            </w:pPr>
          </w:p>
        </w:tc>
        <w:tc>
          <w:tcPr>
            <w:tcW w:w="251" w:type="dxa"/>
            <w:gridSpan w:val="2"/>
            <w:tcBorders>
              <w:left w:val="nil"/>
              <w:bottom w:val="nil"/>
              <w:right w:val="nil"/>
            </w:tcBorders>
          </w:tcPr>
          <w:p w:rsidR="00333FAA" w:rsidRDefault="00333FAA" w:rsidP="00A53B04">
            <w:pPr>
              <w:pStyle w:val="Infotext"/>
            </w:pPr>
          </w:p>
        </w:tc>
        <w:tc>
          <w:tcPr>
            <w:tcW w:w="4131"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rsidTr="00AA35D1">
        <w:tc>
          <w:tcPr>
            <w:tcW w:w="5047" w:type="dxa"/>
            <w:gridSpan w:val="2"/>
            <w:tcBorders>
              <w:top w:val="nil"/>
              <w:bottom w:val="nil"/>
            </w:tcBorders>
          </w:tcPr>
          <w:p w:rsidR="00333FAA" w:rsidRDefault="00333FAA" w:rsidP="00C243D6">
            <w:pPr>
              <w:pStyle w:val="Infotext"/>
            </w:pPr>
            <w:r>
              <w:t xml:space="preserve">Name: </w:t>
            </w:r>
            <w:r w:rsidR="00A20D78">
              <w:t xml:space="preserve"> </w:t>
            </w:r>
            <w:r w:rsidR="00C243D6" w:rsidRPr="00C243D6">
              <w:t xml:space="preserve">Esayas Kifle </w:t>
            </w:r>
          </w:p>
        </w:tc>
        <w:tc>
          <w:tcPr>
            <w:tcW w:w="428" w:type="dxa"/>
            <w:gridSpan w:val="2"/>
            <w:tcBorders>
              <w:bottom w:val="single" w:sz="4" w:space="0" w:color="auto"/>
            </w:tcBorders>
          </w:tcPr>
          <w:p w:rsidR="00333FAA" w:rsidRDefault="00AA35D1" w:rsidP="00A53B04">
            <w:pPr>
              <w:pStyle w:val="Infotext"/>
            </w:pPr>
            <w:r>
              <w:t>X</w:t>
            </w:r>
          </w:p>
        </w:tc>
        <w:tc>
          <w:tcPr>
            <w:tcW w:w="251" w:type="dxa"/>
            <w:gridSpan w:val="2"/>
            <w:tcBorders>
              <w:top w:val="nil"/>
              <w:bottom w:val="nil"/>
              <w:right w:val="nil"/>
            </w:tcBorders>
          </w:tcPr>
          <w:p w:rsidR="00333FAA" w:rsidRDefault="00333FAA" w:rsidP="00A53B04">
            <w:pPr>
              <w:pStyle w:val="Infotext"/>
            </w:pPr>
          </w:p>
        </w:tc>
        <w:tc>
          <w:tcPr>
            <w:tcW w:w="4131" w:type="dxa"/>
            <w:tcBorders>
              <w:top w:val="nil"/>
              <w:left w:val="nil"/>
              <w:bottom w:val="nil"/>
            </w:tcBorders>
          </w:tcPr>
          <w:p w:rsidR="00333FAA" w:rsidRDefault="00333FAA" w:rsidP="00A53B04">
            <w:pPr>
              <w:pStyle w:val="Infotext"/>
            </w:pPr>
            <w:r>
              <w:t>Monitoring Officer</w:t>
            </w:r>
          </w:p>
        </w:tc>
      </w:tr>
      <w:tr w:rsidR="00333FAA" w:rsidTr="00AA35D1">
        <w:tc>
          <w:tcPr>
            <w:tcW w:w="5047" w:type="dxa"/>
            <w:gridSpan w:val="2"/>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C243D6">
              <w:t>10/</w:t>
            </w:r>
            <w:r w:rsidR="00AA35D1">
              <w:t>0</w:t>
            </w:r>
            <w:r w:rsidR="00C243D6">
              <w:t>2/20</w:t>
            </w:r>
            <w:r w:rsidR="00AA35D1">
              <w:t>20</w:t>
            </w:r>
          </w:p>
        </w:tc>
        <w:tc>
          <w:tcPr>
            <w:tcW w:w="428" w:type="dxa"/>
            <w:gridSpan w:val="2"/>
            <w:tcBorders>
              <w:left w:val="nil"/>
              <w:right w:val="nil"/>
            </w:tcBorders>
          </w:tcPr>
          <w:p w:rsidR="00333FAA" w:rsidRDefault="00333FAA" w:rsidP="00A53B04">
            <w:pPr>
              <w:pStyle w:val="Infotext"/>
            </w:pPr>
          </w:p>
        </w:tc>
        <w:tc>
          <w:tcPr>
            <w:tcW w:w="251" w:type="dxa"/>
            <w:gridSpan w:val="2"/>
            <w:tcBorders>
              <w:top w:val="nil"/>
              <w:left w:val="nil"/>
              <w:right w:val="nil"/>
            </w:tcBorders>
          </w:tcPr>
          <w:p w:rsidR="00333FAA" w:rsidRDefault="00333FAA" w:rsidP="00A53B04">
            <w:pPr>
              <w:pStyle w:val="Infotext"/>
            </w:pPr>
          </w:p>
        </w:tc>
        <w:tc>
          <w:tcPr>
            <w:tcW w:w="4131" w:type="dxa"/>
            <w:tcBorders>
              <w:top w:val="nil"/>
              <w:left w:val="nil"/>
            </w:tcBorders>
          </w:tcPr>
          <w:p w:rsidR="00333FAA" w:rsidRDefault="00333FAA" w:rsidP="00A53B04">
            <w:pPr>
              <w:pStyle w:val="Infotext"/>
            </w:pPr>
          </w:p>
          <w:p w:rsidR="00333FAA" w:rsidRDefault="00333FAA" w:rsidP="00A53B04">
            <w:pPr>
              <w:pStyle w:val="Infotext"/>
            </w:pPr>
          </w:p>
        </w:tc>
      </w:tr>
      <w:tr w:rsidR="008A61D5" w:rsidTr="00AA35D1">
        <w:tc>
          <w:tcPr>
            <w:tcW w:w="4982" w:type="dxa"/>
            <w:tcBorders>
              <w:bottom w:val="nil"/>
              <w:right w:val="nil"/>
            </w:tcBorders>
          </w:tcPr>
          <w:p w:rsidR="008A61D5" w:rsidRDefault="008A61D5" w:rsidP="004C1FC6">
            <w:pPr>
              <w:pStyle w:val="Infotext"/>
            </w:pPr>
          </w:p>
          <w:p w:rsidR="008A61D5" w:rsidRDefault="008A61D5" w:rsidP="004C1FC6">
            <w:pPr>
              <w:pStyle w:val="Infotext"/>
            </w:pPr>
          </w:p>
        </w:tc>
        <w:tc>
          <w:tcPr>
            <w:tcW w:w="445" w:type="dxa"/>
            <w:gridSpan w:val="2"/>
            <w:tcBorders>
              <w:left w:val="nil"/>
              <w:right w:val="nil"/>
            </w:tcBorders>
          </w:tcPr>
          <w:p w:rsidR="008A61D5" w:rsidRDefault="008A61D5" w:rsidP="004C1FC6">
            <w:pPr>
              <w:pStyle w:val="Infotext"/>
            </w:pPr>
          </w:p>
        </w:tc>
        <w:tc>
          <w:tcPr>
            <w:tcW w:w="271" w:type="dxa"/>
            <w:gridSpan w:val="2"/>
            <w:tcBorders>
              <w:left w:val="nil"/>
              <w:bottom w:val="nil"/>
              <w:right w:val="nil"/>
            </w:tcBorders>
          </w:tcPr>
          <w:p w:rsidR="008A61D5" w:rsidRDefault="008A61D5" w:rsidP="004C1FC6">
            <w:pPr>
              <w:pStyle w:val="Infotext"/>
            </w:pPr>
          </w:p>
        </w:tc>
        <w:tc>
          <w:tcPr>
            <w:tcW w:w="4159" w:type="dxa"/>
            <w:gridSpan w:val="2"/>
            <w:tcBorders>
              <w:left w:val="nil"/>
              <w:bottom w:val="nil"/>
            </w:tcBorders>
          </w:tcPr>
          <w:p w:rsidR="008A61D5" w:rsidRDefault="008A61D5" w:rsidP="004C1FC6">
            <w:pPr>
              <w:pStyle w:val="Infotext"/>
            </w:pPr>
          </w:p>
          <w:p w:rsidR="008A61D5" w:rsidRDefault="008A61D5" w:rsidP="004C1FC6">
            <w:pPr>
              <w:pStyle w:val="Infotext"/>
            </w:pPr>
            <w:r>
              <w:t xml:space="preserve">on behalf of the * </w:t>
            </w:r>
          </w:p>
        </w:tc>
      </w:tr>
      <w:tr w:rsidR="008A61D5" w:rsidTr="00AA35D1">
        <w:tc>
          <w:tcPr>
            <w:tcW w:w="4982" w:type="dxa"/>
            <w:tcBorders>
              <w:top w:val="nil"/>
              <w:bottom w:val="nil"/>
            </w:tcBorders>
          </w:tcPr>
          <w:p w:rsidR="008A61D5" w:rsidRDefault="008A61D5" w:rsidP="004C1FC6">
            <w:pPr>
              <w:pStyle w:val="Infotext"/>
            </w:pPr>
            <w:r>
              <w:t xml:space="preserve">Name:  Lisa Taylor </w:t>
            </w:r>
          </w:p>
        </w:tc>
        <w:tc>
          <w:tcPr>
            <w:tcW w:w="445" w:type="dxa"/>
            <w:gridSpan w:val="2"/>
            <w:tcBorders>
              <w:bottom w:val="single" w:sz="4" w:space="0" w:color="auto"/>
            </w:tcBorders>
          </w:tcPr>
          <w:p w:rsidR="008A61D5" w:rsidRDefault="00AA35D1" w:rsidP="004C1FC6">
            <w:pPr>
              <w:pStyle w:val="Infotext"/>
            </w:pPr>
            <w:r>
              <w:rPr>
                <w:rFonts w:cs="Arial"/>
              </w:rPr>
              <w:t>X</w:t>
            </w:r>
          </w:p>
        </w:tc>
        <w:tc>
          <w:tcPr>
            <w:tcW w:w="271" w:type="dxa"/>
            <w:gridSpan w:val="2"/>
            <w:tcBorders>
              <w:top w:val="nil"/>
              <w:bottom w:val="nil"/>
              <w:right w:val="nil"/>
            </w:tcBorders>
          </w:tcPr>
          <w:p w:rsidR="008A61D5" w:rsidRDefault="008A61D5" w:rsidP="004C1FC6">
            <w:pPr>
              <w:pStyle w:val="Infotext"/>
            </w:pPr>
          </w:p>
        </w:tc>
        <w:tc>
          <w:tcPr>
            <w:tcW w:w="4159" w:type="dxa"/>
            <w:gridSpan w:val="2"/>
            <w:tcBorders>
              <w:top w:val="nil"/>
              <w:left w:val="nil"/>
              <w:bottom w:val="nil"/>
            </w:tcBorders>
          </w:tcPr>
          <w:p w:rsidR="008A61D5" w:rsidRDefault="008A61D5" w:rsidP="004C1FC6">
            <w:pPr>
              <w:pStyle w:val="Infotext"/>
            </w:pPr>
            <w:r>
              <w:t>Head of Procurement</w:t>
            </w:r>
          </w:p>
        </w:tc>
      </w:tr>
      <w:tr w:rsidR="008A61D5" w:rsidTr="00AA35D1">
        <w:tc>
          <w:tcPr>
            <w:tcW w:w="4982" w:type="dxa"/>
            <w:tcBorders>
              <w:top w:val="nil"/>
              <w:right w:val="nil"/>
            </w:tcBorders>
          </w:tcPr>
          <w:p w:rsidR="008A61D5" w:rsidRDefault="008A61D5" w:rsidP="004C1FC6">
            <w:pPr>
              <w:pStyle w:val="Infotext"/>
            </w:pPr>
            <w:r>
              <w:t xml:space="preserve"> </w:t>
            </w:r>
          </w:p>
          <w:p w:rsidR="008A61D5" w:rsidRDefault="008A61D5" w:rsidP="004C1FC6">
            <w:pPr>
              <w:pStyle w:val="Infotext"/>
            </w:pPr>
            <w:r>
              <w:t>Date:  05/02/2020</w:t>
            </w:r>
          </w:p>
        </w:tc>
        <w:tc>
          <w:tcPr>
            <w:tcW w:w="445" w:type="dxa"/>
            <w:gridSpan w:val="2"/>
            <w:tcBorders>
              <w:left w:val="nil"/>
              <w:bottom w:val="single" w:sz="4" w:space="0" w:color="auto"/>
              <w:right w:val="nil"/>
            </w:tcBorders>
          </w:tcPr>
          <w:p w:rsidR="008A61D5" w:rsidRDefault="008A61D5" w:rsidP="004C1FC6">
            <w:pPr>
              <w:pStyle w:val="Infotext"/>
            </w:pPr>
          </w:p>
        </w:tc>
        <w:tc>
          <w:tcPr>
            <w:tcW w:w="271" w:type="dxa"/>
            <w:gridSpan w:val="2"/>
            <w:tcBorders>
              <w:top w:val="nil"/>
              <w:left w:val="nil"/>
              <w:right w:val="nil"/>
            </w:tcBorders>
          </w:tcPr>
          <w:p w:rsidR="008A61D5" w:rsidRDefault="008A61D5" w:rsidP="004C1FC6">
            <w:pPr>
              <w:pStyle w:val="Infotext"/>
            </w:pPr>
          </w:p>
        </w:tc>
        <w:tc>
          <w:tcPr>
            <w:tcW w:w="4159" w:type="dxa"/>
            <w:gridSpan w:val="2"/>
            <w:tcBorders>
              <w:top w:val="nil"/>
              <w:left w:val="nil"/>
            </w:tcBorders>
          </w:tcPr>
          <w:p w:rsidR="008A61D5" w:rsidRDefault="008A61D5" w:rsidP="004C1FC6">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412"/>
        <w:gridCol w:w="251"/>
        <w:gridCol w:w="4139"/>
      </w:tblGrid>
      <w:tr w:rsidR="00435B5D" w:rsidTr="00AA35D1">
        <w:tc>
          <w:tcPr>
            <w:tcW w:w="5055" w:type="dxa"/>
            <w:tcBorders>
              <w:bottom w:val="nil"/>
              <w:right w:val="nil"/>
            </w:tcBorders>
          </w:tcPr>
          <w:p w:rsidR="00435B5D" w:rsidRDefault="00435B5D" w:rsidP="004F54BD">
            <w:pPr>
              <w:pStyle w:val="Infotext"/>
            </w:pPr>
          </w:p>
          <w:p w:rsidR="00435B5D" w:rsidRDefault="00435B5D" w:rsidP="004F54BD">
            <w:pPr>
              <w:pStyle w:val="Infotext"/>
            </w:pPr>
          </w:p>
        </w:tc>
        <w:tc>
          <w:tcPr>
            <w:tcW w:w="412" w:type="dxa"/>
            <w:tcBorders>
              <w:left w:val="nil"/>
              <w:right w:val="nil"/>
            </w:tcBorders>
          </w:tcPr>
          <w:p w:rsidR="00435B5D" w:rsidRDefault="00435B5D" w:rsidP="004F54BD">
            <w:pPr>
              <w:pStyle w:val="Infotext"/>
            </w:pPr>
          </w:p>
        </w:tc>
        <w:tc>
          <w:tcPr>
            <w:tcW w:w="251" w:type="dxa"/>
            <w:tcBorders>
              <w:left w:val="nil"/>
              <w:bottom w:val="nil"/>
              <w:right w:val="nil"/>
            </w:tcBorders>
          </w:tcPr>
          <w:p w:rsidR="00435B5D" w:rsidRDefault="00435B5D" w:rsidP="004F54BD">
            <w:pPr>
              <w:pStyle w:val="Infotext"/>
            </w:pPr>
          </w:p>
        </w:tc>
        <w:tc>
          <w:tcPr>
            <w:tcW w:w="4139"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AA35D1">
        <w:tc>
          <w:tcPr>
            <w:tcW w:w="5055" w:type="dxa"/>
            <w:tcBorders>
              <w:top w:val="nil"/>
              <w:bottom w:val="nil"/>
            </w:tcBorders>
          </w:tcPr>
          <w:p w:rsidR="00435B5D" w:rsidRDefault="00435B5D" w:rsidP="00A20D78">
            <w:pPr>
              <w:pStyle w:val="Infotext"/>
            </w:pPr>
            <w:r>
              <w:t xml:space="preserve">Name: </w:t>
            </w:r>
            <w:r w:rsidR="00A20D78">
              <w:t xml:space="preserve"> </w:t>
            </w:r>
            <w:r w:rsidR="00AA35D1">
              <w:t>Paul Walker</w:t>
            </w:r>
          </w:p>
        </w:tc>
        <w:tc>
          <w:tcPr>
            <w:tcW w:w="412" w:type="dxa"/>
            <w:tcBorders>
              <w:bottom w:val="single" w:sz="4" w:space="0" w:color="auto"/>
            </w:tcBorders>
          </w:tcPr>
          <w:p w:rsidR="00435B5D" w:rsidRDefault="00AA35D1" w:rsidP="004F54BD">
            <w:pPr>
              <w:pStyle w:val="Infotext"/>
            </w:pPr>
            <w:r>
              <w:t>X</w:t>
            </w:r>
          </w:p>
        </w:tc>
        <w:tc>
          <w:tcPr>
            <w:tcW w:w="251" w:type="dxa"/>
            <w:tcBorders>
              <w:top w:val="nil"/>
              <w:bottom w:val="nil"/>
              <w:right w:val="nil"/>
            </w:tcBorders>
          </w:tcPr>
          <w:p w:rsidR="00435B5D" w:rsidRDefault="00435B5D" w:rsidP="004F54BD">
            <w:pPr>
              <w:pStyle w:val="Infotext"/>
            </w:pPr>
          </w:p>
        </w:tc>
        <w:tc>
          <w:tcPr>
            <w:tcW w:w="4139" w:type="dxa"/>
            <w:tcBorders>
              <w:top w:val="nil"/>
              <w:left w:val="nil"/>
              <w:bottom w:val="nil"/>
            </w:tcBorders>
          </w:tcPr>
          <w:p w:rsidR="00435B5D" w:rsidRDefault="00435B5D" w:rsidP="004F54BD">
            <w:pPr>
              <w:pStyle w:val="Infotext"/>
            </w:pPr>
            <w:r>
              <w:t>Corporate Director</w:t>
            </w:r>
          </w:p>
        </w:tc>
      </w:tr>
      <w:tr w:rsidR="00435B5D" w:rsidTr="00AA35D1">
        <w:tc>
          <w:tcPr>
            <w:tcW w:w="5055"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945AB0">
              <w:t>09</w:t>
            </w:r>
            <w:r w:rsidR="00AA35D1">
              <w:t>/0</w:t>
            </w:r>
            <w:r w:rsidR="00945AB0">
              <w:t>3</w:t>
            </w:r>
            <w:r w:rsidR="00AA35D1">
              <w:t>/2020</w:t>
            </w:r>
          </w:p>
        </w:tc>
        <w:tc>
          <w:tcPr>
            <w:tcW w:w="412" w:type="dxa"/>
            <w:tcBorders>
              <w:left w:val="nil"/>
              <w:bottom w:val="single" w:sz="4" w:space="0" w:color="auto"/>
              <w:right w:val="nil"/>
            </w:tcBorders>
          </w:tcPr>
          <w:p w:rsidR="00435B5D" w:rsidRDefault="00435B5D" w:rsidP="004F54BD">
            <w:pPr>
              <w:pStyle w:val="Infotext"/>
            </w:pPr>
          </w:p>
        </w:tc>
        <w:tc>
          <w:tcPr>
            <w:tcW w:w="251" w:type="dxa"/>
            <w:tcBorders>
              <w:top w:val="nil"/>
              <w:left w:val="nil"/>
              <w:right w:val="nil"/>
            </w:tcBorders>
          </w:tcPr>
          <w:p w:rsidR="00435B5D" w:rsidRDefault="00435B5D" w:rsidP="004F54BD">
            <w:pPr>
              <w:pStyle w:val="Infotext"/>
            </w:pPr>
          </w:p>
        </w:tc>
        <w:tc>
          <w:tcPr>
            <w:tcW w:w="4139" w:type="dxa"/>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3894"/>
      </w:tblGrid>
      <w:tr w:rsidR="00333FAA">
        <w:trPr>
          <w:trHeight w:val="965"/>
        </w:trPr>
        <w:tc>
          <w:tcPr>
            <w:tcW w:w="3025" w:type="pct"/>
            <w:tcBorders>
              <w:right w:val="nil"/>
            </w:tcBorders>
          </w:tcPr>
          <w:p w:rsidR="00333FAA" w:rsidRPr="00B258EC" w:rsidRDefault="00435B5D" w:rsidP="00A53B04">
            <w:pPr>
              <w:pStyle w:val="Infotext"/>
              <w:rPr>
                <w:rFonts w:ascii="Arial Black" w:hAnsi="Arial Black"/>
              </w:rPr>
            </w:pPr>
            <w:r w:rsidRPr="00B258EC">
              <w:rPr>
                <w:rFonts w:ascii="Arial Black" w:hAnsi="Arial Black"/>
              </w:rPr>
              <w:t>MANDATORY</w:t>
            </w:r>
          </w:p>
          <w:p w:rsidR="00333FAA" w:rsidRPr="00300332" w:rsidRDefault="00333FAA" w:rsidP="00A53B04">
            <w:pPr>
              <w:pStyle w:val="Infotext"/>
              <w:rPr>
                <w:rFonts w:ascii="Arial Black" w:hAnsi="Arial Black"/>
              </w:rPr>
            </w:pPr>
            <w:r w:rsidRPr="00300332">
              <w:rPr>
                <w:rFonts w:ascii="Arial Black" w:hAnsi="Arial Black"/>
              </w:rPr>
              <w:t>Ward Councillors notified:</w:t>
            </w:r>
          </w:p>
          <w:p w:rsidR="00333FAA" w:rsidRPr="00300332" w:rsidRDefault="00333FAA" w:rsidP="00A53B04">
            <w:pPr>
              <w:pStyle w:val="Infotext"/>
              <w:rPr>
                <w:color w:val="FF0000"/>
              </w:rPr>
            </w:pPr>
          </w:p>
        </w:tc>
        <w:tc>
          <w:tcPr>
            <w:tcW w:w="1975" w:type="pct"/>
            <w:tcBorders>
              <w:left w:val="nil"/>
            </w:tcBorders>
          </w:tcPr>
          <w:p w:rsidR="00333FAA" w:rsidRPr="00300332" w:rsidRDefault="00333FAA" w:rsidP="00A53B04">
            <w:pPr>
              <w:pStyle w:val="Infotext"/>
            </w:pPr>
          </w:p>
          <w:p w:rsidR="005D1DBD" w:rsidRPr="00300332" w:rsidRDefault="00300332" w:rsidP="00A53B04">
            <w:pPr>
              <w:pStyle w:val="Infotext"/>
              <w:spacing w:before="120"/>
              <w:rPr>
                <w:b/>
              </w:rPr>
            </w:pPr>
            <w:r w:rsidRPr="00300332">
              <w:rPr>
                <w:b/>
              </w:rPr>
              <w:t>Yes</w:t>
            </w:r>
            <w:r w:rsidR="005D1DBD" w:rsidRPr="00300332">
              <w:rPr>
                <w:b/>
              </w:rPr>
              <w:t xml:space="preserve"> </w:t>
            </w:r>
          </w:p>
          <w:p w:rsidR="00333FAA" w:rsidRPr="00300332" w:rsidRDefault="00333FAA" w:rsidP="00A53B04">
            <w:pPr>
              <w:pStyle w:val="Infotext"/>
              <w:spacing w:before="120"/>
              <w:rPr>
                <w:b/>
              </w:rPr>
            </w:pPr>
          </w:p>
          <w:p w:rsidR="00333FAA" w:rsidRPr="00300332" w:rsidRDefault="00333FAA" w:rsidP="00AA35D1">
            <w:pPr>
              <w:pStyle w:val="Infotext"/>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A77D50" w:rsidRDefault="00333FAA" w:rsidP="00A53B04">
            <w:pPr>
              <w:pStyle w:val="Infotext"/>
              <w:rPr>
                <w:rFonts w:ascii="Arial Black" w:hAnsi="Arial Black"/>
              </w:rPr>
            </w:pPr>
            <w:r w:rsidRPr="00A77D50">
              <w:rPr>
                <w:rFonts w:ascii="Arial Black" w:hAnsi="Arial Black"/>
              </w:rPr>
              <w:t>EqIA carried out:</w:t>
            </w:r>
          </w:p>
          <w:p w:rsidR="00333FAA" w:rsidRPr="00A77D50"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r w:rsidRPr="00A77D50">
              <w:rPr>
                <w:rFonts w:ascii="Arial Black" w:hAnsi="Arial Black"/>
              </w:rPr>
              <w:t>EqIA cleared by:</w:t>
            </w:r>
          </w:p>
        </w:tc>
        <w:tc>
          <w:tcPr>
            <w:tcW w:w="1975" w:type="pct"/>
            <w:tcBorders>
              <w:left w:val="nil"/>
            </w:tcBorders>
          </w:tcPr>
          <w:p w:rsidR="00333FAA" w:rsidRDefault="00333FAA" w:rsidP="00A53B04">
            <w:pPr>
              <w:pStyle w:val="Infotext"/>
              <w:rPr>
                <w:b/>
                <w:color w:val="FF0000"/>
              </w:rPr>
            </w:pPr>
          </w:p>
          <w:p w:rsidR="00333FAA" w:rsidRPr="00202D79" w:rsidRDefault="00B21E86" w:rsidP="00A53B04">
            <w:pPr>
              <w:pStyle w:val="Infotext"/>
              <w:rPr>
                <w:b/>
              </w:rPr>
            </w:pPr>
            <w:r>
              <w:rPr>
                <w:b/>
              </w:rPr>
              <w:t>NO</w:t>
            </w:r>
          </w:p>
          <w:p w:rsidR="00333FAA" w:rsidRPr="00303FD6" w:rsidRDefault="00333FAA" w:rsidP="00A53B04">
            <w:pPr>
              <w:pStyle w:val="Infotext"/>
              <w:rPr>
                <w:b/>
                <w:color w:val="FF0000"/>
              </w:rPr>
            </w:pPr>
          </w:p>
          <w:p w:rsidR="00333FAA" w:rsidRPr="00303FD6" w:rsidRDefault="00C520A5" w:rsidP="00A53B04">
            <w:pPr>
              <w:pStyle w:val="Infotext"/>
              <w:rPr>
                <w:color w:val="FF0000"/>
              </w:rPr>
            </w:pPr>
            <w:r w:rsidRPr="00C520A5">
              <w:t>There is no requirement for an EqIA relating to this land disposal proposal.</w:t>
            </w:r>
          </w:p>
        </w:tc>
      </w:tr>
    </w:tbl>
    <w:p w:rsidR="00333FAA" w:rsidRDefault="00333FAA"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947A0E" w:rsidRPr="00406C0A" w:rsidRDefault="00333FAA" w:rsidP="00947A0E">
      <w:pPr>
        <w:pStyle w:val="Infotext"/>
        <w:rPr>
          <w:b/>
          <w:color w:val="FF0000"/>
        </w:rPr>
      </w:pPr>
      <w:r w:rsidRPr="004E47FC">
        <w:rPr>
          <w:b/>
        </w:rPr>
        <w:t xml:space="preserve">Contact: </w:t>
      </w:r>
      <w:r w:rsidRPr="00CE1003">
        <w:rPr>
          <w:b/>
        </w:rPr>
        <w:t xml:space="preserve"> </w:t>
      </w:r>
      <w:r w:rsidR="00947A0E" w:rsidRPr="00AA35D1">
        <w:t>Sharon Oshunbiyi</w:t>
      </w:r>
      <w:r w:rsidR="00AA35D1" w:rsidRPr="00AA35D1">
        <w:t>, Project</w:t>
      </w:r>
      <w:r w:rsidR="00947A0E" w:rsidRPr="00AA35D1">
        <w:t xml:space="preserve"> Manager Enabling. Tel: 0208 424 1899 ext:  2899.  Sharon.oshunbiyi@harrow.gov.uk</w:t>
      </w:r>
    </w:p>
    <w:p w:rsidR="00333FAA" w:rsidRDefault="00333FAA" w:rsidP="00333FAA"/>
    <w:p w:rsidR="00333FAA" w:rsidRDefault="00DE6AD2" w:rsidP="00333FAA">
      <w:pPr>
        <w:pStyle w:val="Infotext"/>
        <w:rPr>
          <w:b/>
        </w:rPr>
      </w:pPr>
      <w:r>
        <w:rPr>
          <w:b/>
        </w:rPr>
        <w:t>Background papers</w:t>
      </w:r>
      <w:r w:rsidR="00554872">
        <w:rPr>
          <w:b/>
        </w:rPr>
        <w:t>:</w:t>
      </w:r>
      <w:r w:rsidR="00094B25">
        <w:rPr>
          <w:b/>
        </w:rPr>
        <w:t xml:space="preserve"> </w:t>
      </w:r>
      <w:r w:rsidR="00094B25" w:rsidRPr="00554872">
        <w:t>None</w:t>
      </w:r>
    </w:p>
    <w:p w:rsidR="00094B25" w:rsidRDefault="00094B25" w:rsidP="00333FAA">
      <w:pPr>
        <w:pStyle w:val="Infotext"/>
        <w:rPr>
          <w:b/>
        </w:rPr>
      </w:pPr>
    </w:p>
    <w:p w:rsidR="00094B25" w:rsidRDefault="00094B25"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7"/>
        <w:gridCol w:w="633"/>
        <w:gridCol w:w="4867"/>
      </w:tblGrid>
      <w:tr w:rsidR="00333FAA">
        <w:trPr>
          <w:trHeight w:val="965"/>
        </w:trPr>
        <w:tc>
          <w:tcPr>
            <w:tcW w:w="2210" w:type="pct"/>
            <w:tcBorders>
              <w:right w:val="nil"/>
            </w:tcBorders>
          </w:tcPr>
          <w:p w:rsidR="00333FAA" w:rsidRDefault="00333FAA" w:rsidP="00A53B04">
            <w:pPr>
              <w:pStyle w:val="Infotext"/>
            </w:pPr>
          </w:p>
          <w:p w:rsidR="00333FAA" w:rsidRPr="003D78F6" w:rsidRDefault="00333FAA" w:rsidP="00A53B04">
            <w:pPr>
              <w:pStyle w:val="Infotext"/>
              <w:rPr>
                <w:i/>
                <w:sz w:val="24"/>
                <w:szCs w:val="24"/>
              </w:rPr>
            </w:pPr>
            <w:r w:rsidRPr="007C0DC3">
              <w:rPr>
                <w:rFonts w:ascii="Arial Black" w:hAnsi="Arial Black"/>
              </w:rPr>
              <w:t>Call-In Waived by the Chair of Overview and Scrutiny Committee</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554872" w:rsidRPr="0017653E" w:rsidRDefault="00554872" w:rsidP="00554872">
            <w:pPr>
              <w:pStyle w:val="Infotext"/>
              <w:rPr>
                <w:rFonts w:cs="Arial"/>
                <w:i/>
                <w:sz w:val="24"/>
                <w:szCs w:val="24"/>
                <w:lang w:eastAsia="en-GB"/>
              </w:rPr>
            </w:pPr>
          </w:p>
          <w:p w:rsidR="0017653E" w:rsidRPr="0017653E" w:rsidRDefault="0017653E" w:rsidP="0017653E">
            <w:pPr>
              <w:pStyle w:val="Infotext"/>
              <w:ind w:left="173"/>
              <w:rPr>
                <w:rFonts w:cs="Arial"/>
                <w:i/>
                <w:sz w:val="24"/>
                <w:szCs w:val="24"/>
                <w:lang w:eastAsia="en-GB"/>
              </w:rPr>
            </w:pPr>
          </w:p>
        </w:tc>
      </w:tr>
    </w:tbl>
    <w:p w:rsidR="000D4E36" w:rsidRPr="00DE71D3" w:rsidRDefault="000D4E36" w:rsidP="001614E0">
      <w:bookmarkStart w:id="0" w:name="_GoBack"/>
      <w:bookmarkEnd w:id="0"/>
    </w:p>
    <w:sectPr w:rsidR="000D4E36" w:rsidRPr="00DE71D3" w:rsidSect="00E00554">
      <w:pgSz w:w="11909" w:h="16834" w:code="9"/>
      <w:pgMar w:top="720" w:right="1134" w:bottom="1440" w:left="1134"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5B" w:rsidRDefault="00ED6C5B">
      <w:r>
        <w:separator/>
      </w:r>
    </w:p>
  </w:endnote>
  <w:endnote w:type="continuationSeparator" w:id="0">
    <w:p w:rsidR="00ED6C5B" w:rsidRDefault="00ED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5B" w:rsidRDefault="00ED6C5B">
      <w:r>
        <w:separator/>
      </w:r>
    </w:p>
  </w:footnote>
  <w:footnote w:type="continuationSeparator" w:id="0">
    <w:p w:rsidR="00ED6C5B" w:rsidRDefault="00ED6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3BA"/>
    <w:multiLevelType w:val="hybridMultilevel"/>
    <w:tmpl w:val="128C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582F72"/>
    <w:multiLevelType w:val="hybridMultilevel"/>
    <w:tmpl w:val="B290DB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5D6520"/>
    <w:multiLevelType w:val="hybridMultilevel"/>
    <w:tmpl w:val="4768D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60BD2"/>
    <w:multiLevelType w:val="hybridMultilevel"/>
    <w:tmpl w:val="DCC2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0F5620"/>
    <w:multiLevelType w:val="hybridMultilevel"/>
    <w:tmpl w:val="66F06C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4B502E"/>
    <w:multiLevelType w:val="hybridMultilevel"/>
    <w:tmpl w:val="5EE2796A"/>
    <w:lvl w:ilvl="0" w:tplc="486822A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674232"/>
    <w:multiLevelType w:val="hybridMultilevel"/>
    <w:tmpl w:val="55CE3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56569"/>
    <w:multiLevelType w:val="hybridMultilevel"/>
    <w:tmpl w:val="D0000C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0184341"/>
    <w:multiLevelType w:val="hybridMultilevel"/>
    <w:tmpl w:val="5E7E66CC"/>
    <w:lvl w:ilvl="0" w:tplc="ADB6D2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C7949"/>
    <w:multiLevelType w:val="hybridMultilevel"/>
    <w:tmpl w:val="50682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75077"/>
    <w:multiLevelType w:val="hybridMultilevel"/>
    <w:tmpl w:val="7C6258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44FF2EC9"/>
    <w:multiLevelType w:val="multilevel"/>
    <w:tmpl w:val="FDE0FC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5260830"/>
    <w:multiLevelType w:val="hybridMultilevel"/>
    <w:tmpl w:val="8A2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A407A1"/>
    <w:multiLevelType w:val="hybridMultilevel"/>
    <w:tmpl w:val="83ACE31E"/>
    <w:lvl w:ilvl="0" w:tplc="503A37A0">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E0222"/>
    <w:multiLevelType w:val="hybridMultilevel"/>
    <w:tmpl w:val="D7045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4E16DA"/>
    <w:multiLevelType w:val="hybridMultilevel"/>
    <w:tmpl w:val="6FA6C3AE"/>
    <w:lvl w:ilvl="0" w:tplc="5AAE3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8F38F2"/>
    <w:multiLevelType w:val="hybridMultilevel"/>
    <w:tmpl w:val="D9F88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D0369FA"/>
    <w:multiLevelType w:val="hybridMultilevel"/>
    <w:tmpl w:val="E17042B6"/>
    <w:lvl w:ilvl="0" w:tplc="F56EFE9A">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5F91156"/>
    <w:multiLevelType w:val="multilevel"/>
    <w:tmpl w:val="2D801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6F61744"/>
    <w:multiLevelType w:val="multilevel"/>
    <w:tmpl w:val="6AC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A0529"/>
    <w:multiLevelType w:val="hybridMultilevel"/>
    <w:tmpl w:val="95DC83A6"/>
    <w:lvl w:ilvl="0" w:tplc="AB54458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A2B9E"/>
    <w:multiLevelType w:val="hybridMultilevel"/>
    <w:tmpl w:val="0B7CCFD2"/>
    <w:lvl w:ilvl="0" w:tplc="5AAE3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F154CC"/>
    <w:multiLevelType w:val="hybridMultilevel"/>
    <w:tmpl w:val="5A365F7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nsid w:val="7D590431"/>
    <w:multiLevelType w:val="hybridMultilevel"/>
    <w:tmpl w:val="1BAC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22"/>
  </w:num>
  <w:num w:numId="5">
    <w:abstractNumId w:val="2"/>
  </w:num>
  <w:num w:numId="6">
    <w:abstractNumId w:val="24"/>
  </w:num>
  <w:num w:numId="7">
    <w:abstractNumId w:val="33"/>
  </w:num>
  <w:num w:numId="8">
    <w:abstractNumId w:val="20"/>
  </w:num>
  <w:num w:numId="9">
    <w:abstractNumId w:val="1"/>
  </w:num>
  <w:num w:numId="10">
    <w:abstractNumId w:val="11"/>
  </w:num>
  <w:num w:numId="11">
    <w:abstractNumId w:val="29"/>
  </w:num>
  <w:num w:numId="12">
    <w:abstractNumId w:val="0"/>
  </w:num>
  <w:num w:numId="13">
    <w:abstractNumId w:val="13"/>
  </w:num>
  <w:num w:numId="14">
    <w:abstractNumId w:val="12"/>
  </w:num>
  <w:num w:numId="15">
    <w:abstractNumId w:val="9"/>
  </w:num>
  <w:num w:numId="16">
    <w:abstractNumId w:val="4"/>
  </w:num>
  <w:num w:numId="17">
    <w:abstractNumId w:val="8"/>
  </w:num>
  <w:num w:numId="18">
    <w:abstractNumId w:val="26"/>
  </w:num>
  <w:num w:numId="19">
    <w:abstractNumId w:val="16"/>
  </w:num>
  <w:num w:numId="20">
    <w:abstractNumId w:val="18"/>
  </w:num>
  <w:num w:numId="21">
    <w:abstractNumId w:val="6"/>
  </w:num>
  <w:num w:numId="22">
    <w:abstractNumId w:val="5"/>
  </w:num>
  <w:num w:numId="23">
    <w:abstractNumId w:val="14"/>
  </w:num>
  <w:num w:numId="24">
    <w:abstractNumId w:val="23"/>
  </w:num>
  <w:num w:numId="25">
    <w:abstractNumId w:val="17"/>
  </w:num>
  <w:num w:numId="26">
    <w:abstractNumId w:val="32"/>
  </w:num>
  <w:num w:numId="27">
    <w:abstractNumId w:val="30"/>
  </w:num>
  <w:num w:numId="28">
    <w:abstractNumId w:val="19"/>
  </w:num>
  <w:num w:numId="29">
    <w:abstractNumId w:val="21"/>
  </w:num>
  <w:num w:numId="30">
    <w:abstractNumId w:val="27"/>
  </w:num>
  <w:num w:numId="31">
    <w:abstractNumId w:val="7"/>
  </w:num>
  <w:num w:numId="32">
    <w:abstractNumId w:val="28"/>
  </w:num>
  <w:num w:numId="33">
    <w:abstractNumId w:val="31"/>
  </w:num>
  <w:num w:numId="34">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ent Kerimol">
    <w15:presenceInfo w15:providerId="AD" w15:userId="S::lev@communityledhousing.london::0301c8a9-7f2d-4e7d-a0ff-1be84fbc1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3A5"/>
    <w:rsid w:val="0000089B"/>
    <w:rsid w:val="00012E32"/>
    <w:rsid w:val="00021437"/>
    <w:rsid w:val="00024826"/>
    <w:rsid w:val="0003089B"/>
    <w:rsid w:val="00032013"/>
    <w:rsid w:val="00034DBD"/>
    <w:rsid w:val="00035ACF"/>
    <w:rsid w:val="00040122"/>
    <w:rsid w:val="0004029A"/>
    <w:rsid w:val="00042A3F"/>
    <w:rsid w:val="00045657"/>
    <w:rsid w:val="00047936"/>
    <w:rsid w:val="00047AFB"/>
    <w:rsid w:val="0005528C"/>
    <w:rsid w:val="000558A8"/>
    <w:rsid w:val="000574E6"/>
    <w:rsid w:val="0006034E"/>
    <w:rsid w:val="000626AA"/>
    <w:rsid w:val="00062956"/>
    <w:rsid w:val="00063783"/>
    <w:rsid w:val="00067C24"/>
    <w:rsid w:val="00073765"/>
    <w:rsid w:val="000750D3"/>
    <w:rsid w:val="00082B60"/>
    <w:rsid w:val="000843C8"/>
    <w:rsid w:val="0009013D"/>
    <w:rsid w:val="000929A6"/>
    <w:rsid w:val="00094B25"/>
    <w:rsid w:val="000A2F26"/>
    <w:rsid w:val="000B4A0C"/>
    <w:rsid w:val="000B5015"/>
    <w:rsid w:val="000B60F3"/>
    <w:rsid w:val="000B668A"/>
    <w:rsid w:val="000B788F"/>
    <w:rsid w:val="000C0B86"/>
    <w:rsid w:val="000C2F41"/>
    <w:rsid w:val="000D4003"/>
    <w:rsid w:val="000D4E36"/>
    <w:rsid w:val="000E5D06"/>
    <w:rsid w:val="000E62FE"/>
    <w:rsid w:val="000E6936"/>
    <w:rsid w:val="000F0061"/>
    <w:rsid w:val="000F161E"/>
    <w:rsid w:val="000F2C7C"/>
    <w:rsid w:val="00101C4D"/>
    <w:rsid w:val="001074BB"/>
    <w:rsid w:val="00112344"/>
    <w:rsid w:val="00114DD0"/>
    <w:rsid w:val="001161E4"/>
    <w:rsid w:val="00116B7B"/>
    <w:rsid w:val="00125166"/>
    <w:rsid w:val="00125A26"/>
    <w:rsid w:val="00126058"/>
    <w:rsid w:val="001266D8"/>
    <w:rsid w:val="00130955"/>
    <w:rsid w:val="00134179"/>
    <w:rsid w:val="00134D47"/>
    <w:rsid w:val="00136983"/>
    <w:rsid w:val="001406F5"/>
    <w:rsid w:val="0015376F"/>
    <w:rsid w:val="00153F41"/>
    <w:rsid w:val="00154053"/>
    <w:rsid w:val="00154BBD"/>
    <w:rsid w:val="00155C39"/>
    <w:rsid w:val="0015737A"/>
    <w:rsid w:val="001614E0"/>
    <w:rsid w:val="00162895"/>
    <w:rsid w:val="00171BD8"/>
    <w:rsid w:val="0017653E"/>
    <w:rsid w:val="0017779E"/>
    <w:rsid w:val="0018290E"/>
    <w:rsid w:val="00182B01"/>
    <w:rsid w:val="001840D2"/>
    <w:rsid w:val="00184621"/>
    <w:rsid w:val="0018485A"/>
    <w:rsid w:val="001868D5"/>
    <w:rsid w:val="001933C3"/>
    <w:rsid w:val="001966D7"/>
    <w:rsid w:val="001A2AB4"/>
    <w:rsid w:val="001A4D42"/>
    <w:rsid w:val="001B08BE"/>
    <w:rsid w:val="001B3BB9"/>
    <w:rsid w:val="001B3E00"/>
    <w:rsid w:val="001B6872"/>
    <w:rsid w:val="001C4D2E"/>
    <w:rsid w:val="001C7E35"/>
    <w:rsid w:val="001E1423"/>
    <w:rsid w:val="001E3C06"/>
    <w:rsid w:val="001E5D53"/>
    <w:rsid w:val="001E6AC4"/>
    <w:rsid w:val="001F0037"/>
    <w:rsid w:val="001F0BE9"/>
    <w:rsid w:val="001F7C15"/>
    <w:rsid w:val="00202733"/>
    <w:rsid w:val="00202D79"/>
    <w:rsid w:val="00205D2F"/>
    <w:rsid w:val="0020664A"/>
    <w:rsid w:val="002068F8"/>
    <w:rsid w:val="00215E8F"/>
    <w:rsid w:val="002322BB"/>
    <w:rsid w:val="00233EF2"/>
    <w:rsid w:val="00237302"/>
    <w:rsid w:val="002425A3"/>
    <w:rsid w:val="00243C44"/>
    <w:rsid w:val="00251254"/>
    <w:rsid w:val="002541DA"/>
    <w:rsid w:val="002548D1"/>
    <w:rsid w:val="00262DAB"/>
    <w:rsid w:val="0027283B"/>
    <w:rsid w:val="002755D5"/>
    <w:rsid w:val="00275DDF"/>
    <w:rsid w:val="0028019B"/>
    <w:rsid w:val="00283CAB"/>
    <w:rsid w:val="00287524"/>
    <w:rsid w:val="00291D4F"/>
    <w:rsid w:val="00295CCB"/>
    <w:rsid w:val="0029618B"/>
    <w:rsid w:val="002A36F3"/>
    <w:rsid w:val="002A3C2D"/>
    <w:rsid w:val="002A3FEF"/>
    <w:rsid w:val="002B54A6"/>
    <w:rsid w:val="002B6612"/>
    <w:rsid w:val="002C2A57"/>
    <w:rsid w:val="002D35E7"/>
    <w:rsid w:val="002D69F4"/>
    <w:rsid w:val="002E2026"/>
    <w:rsid w:val="002F0C03"/>
    <w:rsid w:val="002F3EE9"/>
    <w:rsid w:val="002F5D5C"/>
    <w:rsid w:val="00300332"/>
    <w:rsid w:val="00302BD2"/>
    <w:rsid w:val="00307F76"/>
    <w:rsid w:val="00314E9E"/>
    <w:rsid w:val="003179FA"/>
    <w:rsid w:val="00321FBB"/>
    <w:rsid w:val="003234E4"/>
    <w:rsid w:val="00326969"/>
    <w:rsid w:val="00333FAA"/>
    <w:rsid w:val="003355D7"/>
    <w:rsid w:val="003357C7"/>
    <w:rsid w:val="00335EA3"/>
    <w:rsid w:val="00335ECC"/>
    <w:rsid w:val="0034113D"/>
    <w:rsid w:val="00343218"/>
    <w:rsid w:val="003432B6"/>
    <w:rsid w:val="00345C3A"/>
    <w:rsid w:val="0036201C"/>
    <w:rsid w:val="003630F3"/>
    <w:rsid w:val="00365B75"/>
    <w:rsid w:val="00370F6D"/>
    <w:rsid w:val="003711B4"/>
    <w:rsid w:val="003721D8"/>
    <w:rsid w:val="00376768"/>
    <w:rsid w:val="003853EF"/>
    <w:rsid w:val="00394A10"/>
    <w:rsid w:val="00394DF8"/>
    <w:rsid w:val="003962AD"/>
    <w:rsid w:val="003A1FD6"/>
    <w:rsid w:val="003A625D"/>
    <w:rsid w:val="003A77D9"/>
    <w:rsid w:val="003C34FE"/>
    <w:rsid w:val="003C44B0"/>
    <w:rsid w:val="003C5FC2"/>
    <w:rsid w:val="003D410D"/>
    <w:rsid w:val="003D4182"/>
    <w:rsid w:val="003E038E"/>
    <w:rsid w:val="003E1778"/>
    <w:rsid w:val="003F3AFD"/>
    <w:rsid w:val="00400E96"/>
    <w:rsid w:val="00406C0A"/>
    <w:rsid w:val="004076C8"/>
    <w:rsid w:val="00407D76"/>
    <w:rsid w:val="004207E3"/>
    <w:rsid w:val="00421A4C"/>
    <w:rsid w:val="004238C2"/>
    <w:rsid w:val="00425B4F"/>
    <w:rsid w:val="00426707"/>
    <w:rsid w:val="00435B5D"/>
    <w:rsid w:val="004363F7"/>
    <w:rsid w:val="00437BE5"/>
    <w:rsid w:val="0044201D"/>
    <w:rsid w:val="0044525C"/>
    <w:rsid w:val="004553F1"/>
    <w:rsid w:val="00457B4E"/>
    <w:rsid w:val="00457CC0"/>
    <w:rsid w:val="00471C1F"/>
    <w:rsid w:val="00476168"/>
    <w:rsid w:val="004809FA"/>
    <w:rsid w:val="00484942"/>
    <w:rsid w:val="00487BA1"/>
    <w:rsid w:val="00491A83"/>
    <w:rsid w:val="004923E1"/>
    <w:rsid w:val="004A05D0"/>
    <w:rsid w:val="004A2097"/>
    <w:rsid w:val="004C1308"/>
    <w:rsid w:val="004C152F"/>
    <w:rsid w:val="004C1FC6"/>
    <w:rsid w:val="004C4A75"/>
    <w:rsid w:val="004D2DA0"/>
    <w:rsid w:val="004D445C"/>
    <w:rsid w:val="004E14A4"/>
    <w:rsid w:val="004E7D95"/>
    <w:rsid w:val="004F54BD"/>
    <w:rsid w:val="004F56C5"/>
    <w:rsid w:val="00501471"/>
    <w:rsid w:val="00505026"/>
    <w:rsid w:val="00511FD6"/>
    <w:rsid w:val="00512D2F"/>
    <w:rsid w:val="00517218"/>
    <w:rsid w:val="00521651"/>
    <w:rsid w:val="00522A34"/>
    <w:rsid w:val="00532AC0"/>
    <w:rsid w:val="00534479"/>
    <w:rsid w:val="005354D0"/>
    <w:rsid w:val="00537574"/>
    <w:rsid w:val="0054031D"/>
    <w:rsid w:val="005413B7"/>
    <w:rsid w:val="0054172C"/>
    <w:rsid w:val="0054249B"/>
    <w:rsid w:val="005456F8"/>
    <w:rsid w:val="0054590F"/>
    <w:rsid w:val="005459EC"/>
    <w:rsid w:val="00551A83"/>
    <w:rsid w:val="00553677"/>
    <w:rsid w:val="00554872"/>
    <w:rsid w:val="00556F6C"/>
    <w:rsid w:val="00557713"/>
    <w:rsid w:val="0057152E"/>
    <w:rsid w:val="005718B5"/>
    <w:rsid w:val="00571FC9"/>
    <w:rsid w:val="00572AB8"/>
    <w:rsid w:val="00575C02"/>
    <w:rsid w:val="00580101"/>
    <w:rsid w:val="005808FB"/>
    <w:rsid w:val="00581E29"/>
    <w:rsid w:val="00582605"/>
    <w:rsid w:val="00582EDA"/>
    <w:rsid w:val="0058722A"/>
    <w:rsid w:val="0058745B"/>
    <w:rsid w:val="00591016"/>
    <w:rsid w:val="005A41B7"/>
    <w:rsid w:val="005B164A"/>
    <w:rsid w:val="005B2421"/>
    <w:rsid w:val="005B3F67"/>
    <w:rsid w:val="005B4E34"/>
    <w:rsid w:val="005C2A48"/>
    <w:rsid w:val="005C665C"/>
    <w:rsid w:val="005C7A4F"/>
    <w:rsid w:val="005C7CBA"/>
    <w:rsid w:val="005D024B"/>
    <w:rsid w:val="005D1DBD"/>
    <w:rsid w:val="005D4447"/>
    <w:rsid w:val="005D548F"/>
    <w:rsid w:val="005D6EF5"/>
    <w:rsid w:val="005E14B0"/>
    <w:rsid w:val="005E2709"/>
    <w:rsid w:val="005E2FA1"/>
    <w:rsid w:val="005E3A10"/>
    <w:rsid w:val="005E7509"/>
    <w:rsid w:val="005F02AD"/>
    <w:rsid w:val="005F309A"/>
    <w:rsid w:val="005F68DC"/>
    <w:rsid w:val="0060295F"/>
    <w:rsid w:val="00611BC7"/>
    <w:rsid w:val="0061365C"/>
    <w:rsid w:val="0062092A"/>
    <w:rsid w:val="006433B4"/>
    <w:rsid w:val="00644788"/>
    <w:rsid w:val="00645B8B"/>
    <w:rsid w:val="00655044"/>
    <w:rsid w:val="00655B8C"/>
    <w:rsid w:val="0066136B"/>
    <w:rsid w:val="00665AB2"/>
    <w:rsid w:val="00666922"/>
    <w:rsid w:val="00670F17"/>
    <w:rsid w:val="006710C7"/>
    <w:rsid w:val="00671659"/>
    <w:rsid w:val="006725B5"/>
    <w:rsid w:val="006733C6"/>
    <w:rsid w:val="00676FAD"/>
    <w:rsid w:val="00696A83"/>
    <w:rsid w:val="006A0868"/>
    <w:rsid w:val="006A2552"/>
    <w:rsid w:val="006B1FBB"/>
    <w:rsid w:val="006B437A"/>
    <w:rsid w:val="006C2E6D"/>
    <w:rsid w:val="006C473B"/>
    <w:rsid w:val="006C580A"/>
    <w:rsid w:val="006D1A84"/>
    <w:rsid w:val="006D1E69"/>
    <w:rsid w:val="006D3A90"/>
    <w:rsid w:val="006D520D"/>
    <w:rsid w:val="006E7738"/>
    <w:rsid w:val="006F057C"/>
    <w:rsid w:val="006F22DA"/>
    <w:rsid w:val="006F249B"/>
    <w:rsid w:val="006F2EB3"/>
    <w:rsid w:val="006F3A6A"/>
    <w:rsid w:val="006F40F5"/>
    <w:rsid w:val="00703B30"/>
    <w:rsid w:val="00706C81"/>
    <w:rsid w:val="0070739F"/>
    <w:rsid w:val="007116B1"/>
    <w:rsid w:val="00714BEE"/>
    <w:rsid w:val="00715584"/>
    <w:rsid w:val="0072048C"/>
    <w:rsid w:val="00721215"/>
    <w:rsid w:val="00731C3E"/>
    <w:rsid w:val="007348CF"/>
    <w:rsid w:val="007400CF"/>
    <w:rsid w:val="007432BA"/>
    <w:rsid w:val="00743689"/>
    <w:rsid w:val="00750114"/>
    <w:rsid w:val="00752617"/>
    <w:rsid w:val="007543CB"/>
    <w:rsid w:val="00754E93"/>
    <w:rsid w:val="0075625F"/>
    <w:rsid w:val="00766515"/>
    <w:rsid w:val="0077176B"/>
    <w:rsid w:val="007748C2"/>
    <w:rsid w:val="007806FF"/>
    <w:rsid w:val="00780A9D"/>
    <w:rsid w:val="00782787"/>
    <w:rsid w:val="007847F9"/>
    <w:rsid w:val="0079284C"/>
    <w:rsid w:val="007A7A61"/>
    <w:rsid w:val="007B048F"/>
    <w:rsid w:val="007B23FC"/>
    <w:rsid w:val="007B4DCB"/>
    <w:rsid w:val="007B6D70"/>
    <w:rsid w:val="007C0BA0"/>
    <w:rsid w:val="007C50FE"/>
    <w:rsid w:val="007D0C1D"/>
    <w:rsid w:val="007D2000"/>
    <w:rsid w:val="007D2569"/>
    <w:rsid w:val="007D4DBF"/>
    <w:rsid w:val="007D58F3"/>
    <w:rsid w:val="007E4459"/>
    <w:rsid w:val="007E4732"/>
    <w:rsid w:val="007E4BA4"/>
    <w:rsid w:val="007E6C1A"/>
    <w:rsid w:val="007F004E"/>
    <w:rsid w:val="007F1599"/>
    <w:rsid w:val="007F335A"/>
    <w:rsid w:val="007F5919"/>
    <w:rsid w:val="007F5E1F"/>
    <w:rsid w:val="00801B32"/>
    <w:rsid w:val="0080282A"/>
    <w:rsid w:val="00803104"/>
    <w:rsid w:val="00812901"/>
    <w:rsid w:val="00813213"/>
    <w:rsid w:val="008213F5"/>
    <w:rsid w:val="008224F7"/>
    <w:rsid w:val="00823753"/>
    <w:rsid w:val="00826B9A"/>
    <w:rsid w:val="0084525A"/>
    <w:rsid w:val="00845A5F"/>
    <w:rsid w:val="0085266D"/>
    <w:rsid w:val="00861E46"/>
    <w:rsid w:val="0086306A"/>
    <w:rsid w:val="00885A83"/>
    <w:rsid w:val="00891057"/>
    <w:rsid w:val="00896BE7"/>
    <w:rsid w:val="008A5AA0"/>
    <w:rsid w:val="008A61D5"/>
    <w:rsid w:val="008B245E"/>
    <w:rsid w:val="008B29C5"/>
    <w:rsid w:val="008B6DD8"/>
    <w:rsid w:val="008C0CC4"/>
    <w:rsid w:val="008D0F07"/>
    <w:rsid w:val="008E224D"/>
    <w:rsid w:val="008E4F66"/>
    <w:rsid w:val="008E7DC9"/>
    <w:rsid w:val="008F115E"/>
    <w:rsid w:val="008F52E3"/>
    <w:rsid w:val="00914202"/>
    <w:rsid w:val="0092530B"/>
    <w:rsid w:val="0093178A"/>
    <w:rsid w:val="0094208C"/>
    <w:rsid w:val="00942F17"/>
    <w:rsid w:val="00945047"/>
    <w:rsid w:val="00945AB0"/>
    <w:rsid w:val="00946EA3"/>
    <w:rsid w:val="0094752B"/>
    <w:rsid w:val="009478FA"/>
    <w:rsid w:val="00947A0E"/>
    <w:rsid w:val="00951AF1"/>
    <w:rsid w:val="009527F7"/>
    <w:rsid w:val="00952CEF"/>
    <w:rsid w:val="00955421"/>
    <w:rsid w:val="009571C2"/>
    <w:rsid w:val="00964F07"/>
    <w:rsid w:val="0097108F"/>
    <w:rsid w:val="00972662"/>
    <w:rsid w:val="009741ED"/>
    <w:rsid w:val="0098095E"/>
    <w:rsid w:val="009826C4"/>
    <w:rsid w:val="009841CC"/>
    <w:rsid w:val="00990E9C"/>
    <w:rsid w:val="00994542"/>
    <w:rsid w:val="00994908"/>
    <w:rsid w:val="009A2426"/>
    <w:rsid w:val="009A29B9"/>
    <w:rsid w:val="009B160B"/>
    <w:rsid w:val="009B2C4A"/>
    <w:rsid w:val="009C047A"/>
    <w:rsid w:val="009C10DA"/>
    <w:rsid w:val="009C237B"/>
    <w:rsid w:val="009C3044"/>
    <w:rsid w:val="009C6805"/>
    <w:rsid w:val="009D248E"/>
    <w:rsid w:val="009E55E5"/>
    <w:rsid w:val="009E5A93"/>
    <w:rsid w:val="009F2950"/>
    <w:rsid w:val="009F53CA"/>
    <w:rsid w:val="009F53FE"/>
    <w:rsid w:val="00A004D3"/>
    <w:rsid w:val="00A01706"/>
    <w:rsid w:val="00A030E9"/>
    <w:rsid w:val="00A042F8"/>
    <w:rsid w:val="00A05AF5"/>
    <w:rsid w:val="00A06181"/>
    <w:rsid w:val="00A07768"/>
    <w:rsid w:val="00A078D3"/>
    <w:rsid w:val="00A129CF"/>
    <w:rsid w:val="00A1646C"/>
    <w:rsid w:val="00A20113"/>
    <w:rsid w:val="00A20D15"/>
    <w:rsid w:val="00A20D78"/>
    <w:rsid w:val="00A2215F"/>
    <w:rsid w:val="00A22839"/>
    <w:rsid w:val="00A23E19"/>
    <w:rsid w:val="00A258BA"/>
    <w:rsid w:val="00A25C93"/>
    <w:rsid w:val="00A26792"/>
    <w:rsid w:val="00A33185"/>
    <w:rsid w:val="00A41329"/>
    <w:rsid w:val="00A42226"/>
    <w:rsid w:val="00A43C56"/>
    <w:rsid w:val="00A443A1"/>
    <w:rsid w:val="00A45B2E"/>
    <w:rsid w:val="00A46055"/>
    <w:rsid w:val="00A53B04"/>
    <w:rsid w:val="00A54C2A"/>
    <w:rsid w:val="00A573AB"/>
    <w:rsid w:val="00A65F67"/>
    <w:rsid w:val="00A661F4"/>
    <w:rsid w:val="00A71E2C"/>
    <w:rsid w:val="00A7271A"/>
    <w:rsid w:val="00A77225"/>
    <w:rsid w:val="00A77AC7"/>
    <w:rsid w:val="00A77D50"/>
    <w:rsid w:val="00A81E19"/>
    <w:rsid w:val="00A86190"/>
    <w:rsid w:val="00A86457"/>
    <w:rsid w:val="00A90866"/>
    <w:rsid w:val="00AA074F"/>
    <w:rsid w:val="00AA35D1"/>
    <w:rsid w:val="00AA3F2C"/>
    <w:rsid w:val="00AB1B5F"/>
    <w:rsid w:val="00AB2B1F"/>
    <w:rsid w:val="00AB795F"/>
    <w:rsid w:val="00AC1A7E"/>
    <w:rsid w:val="00AC6312"/>
    <w:rsid w:val="00AD168D"/>
    <w:rsid w:val="00AD6D80"/>
    <w:rsid w:val="00AE365D"/>
    <w:rsid w:val="00AE6E25"/>
    <w:rsid w:val="00AE760C"/>
    <w:rsid w:val="00AF0EAF"/>
    <w:rsid w:val="00AF26A5"/>
    <w:rsid w:val="00B020F9"/>
    <w:rsid w:val="00B049F2"/>
    <w:rsid w:val="00B05B20"/>
    <w:rsid w:val="00B10BFF"/>
    <w:rsid w:val="00B1160D"/>
    <w:rsid w:val="00B1229C"/>
    <w:rsid w:val="00B132C7"/>
    <w:rsid w:val="00B21E86"/>
    <w:rsid w:val="00B22895"/>
    <w:rsid w:val="00B240BD"/>
    <w:rsid w:val="00B24ED2"/>
    <w:rsid w:val="00B258EC"/>
    <w:rsid w:val="00B259B5"/>
    <w:rsid w:val="00B26403"/>
    <w:rsid w:val="00B27DAC"/>
    <w:rsid w:val="00B31434"/>
    <w:rsid w:val="00B34CF5"/>
    <w:rsid w:val="00B444E6"/>
    <w:rsid w:val="00B45DAA"/>
    <w:rsid w:val="00B464D7"/>
    <w:rsid w:val="00B52011"/>
    <w:rsid w:val="00B53EFF"/>
    <w:rsid w:val="00B54765"/>
    <w:rsid w:val="00B54AFA"/>
    <w:rsid w:val="00B559A5"/>
    <w:rsid w:val="00B62A60"/>
    <w:rsid w:val="00B65BDD"/>
    <w:rsid w:val="00B66D2D"/>
    <w:rsid w:val="00B671A4"/>
    <w:rsid w:val="00B72648"/>
    <w:rsid w:val="00B743EE"/>
    <w:rsid w:val="00B804E8"/>
    <w:rsid w:val="00B81AE1"/>
    <w:rsid w:val="00B82AD3"/>
    <w:rsid w:val="00B85BDA"/>
    <w:rsid w:val="00B8729D"/>
    <w:rsid w:val="00B910AC"/>
    <w:rsid w:val="00B9156D"/>
    <w:rsid w:val="00B94163"/>
    <w:rsid w:val="00B958B6"/>
    <w:rsid w:val="00BB368A"/>
    <w:rsid w:val="00BB4436"/>
    <w:rsid w:val="00BC0D46"/>
    <w:rsid w:val="00BC125E"/>
    <w:rsid w:val="00BC206C"/>
    <w:rsid w:val="00BC431A"/>
    <w:rsid w:val="00BC6C9D"/>
    <w:rsid w:val="00BE0641"/>
    <w:rsid w:val="00BE2C2F"/>
    <w:rsid w:val="00BE7182"/>
    <w:rsid w:val="00BF30F3"/>
    <w:rsid w:val="00BF4AFB"/>
    <w:rsid w:val="00BF7DBA"/>
    <w:rsid w:val="00C01A35"/>
    <w:rsid w:val="00C03772"/>
    <w:rsid w:val="00C04EDA"/>
    <w:rsid w:val="00C07F90"/>
    <w:rsid w:val="00C119A2"/>
    <w:rsid w:val="00C177A4"/>
    <w:rsid w:val="00C17B50"/>
    <w:rsid w:val="00C2170D"/>
    <w:rsid w:val="00C243D6"/>
    <w:rsid w:val="00C32BF9"/>
    <w:rsid w:val="00C349ED"/>
    <w:rsid w:val="00C34F6B"/>
    <w:rsid w:val="00C3624A"/>
    <w:rsid w:val="00C40D67"/>
    <w:rsid w:val="00C42F4B"/>
    <w:rsid w:val="00C46089"/>
    <w:rsid w:val="00C520A5"/>
    <w:rsid w:val="00C53F0E"/>
    <w:rsid w:val="00C570B6"/>
    <w:rsid w:val="00C57267"/>
    <w:rsid w:val="00C62B63"/>
    <w:rsid w:val="00C655FB"/>
    <w:rsid w:val="00C72B5B"/>
    <w:rsid w:val="00C850B8"/>
    <w:rsid w:val="00C864C3"/>
    <w:rsid w:val="00C9286E"/>
    <w:rsid w:val="00CB4A2A"/>
    <w:rsid w:val="00CB5ACF"/>
    <w:rsid w:val="00CB7B3F"/>
    <w:rsid w:val="00CB7EC5"/>
    <w:rsid w:val="00CC1FE3"/>
    <w:rsid w:val="00CC6ABB"/>
    <w:rsid w:val="00CD0F63"/>
    <w:rsid w:val="00CD7D5D"/>
    <w:rsid w:val="00CE1003"/>
    <w:rsid w:val="00CE2491"/>
    <w:rsid w:val="00CE2786"/>
    <w:rsid w:val="00CE33FB"/>
    <w:rsid w:val="00CF0FC4"/>
    <w:rsid w:val="00CF5012"/>
    <w:rsid w:val="00CF6932"/>
    <w:rsid w:val="00D0076C"/>
    <w:rsid w:val="00D00EAE"/>
    <w:rsid w:val="00D0102F"/>
    <w:rsid w:val="00D01FE3"/>
    <w:rsid w:val="00D0479D"/>
    <w:rsid w:val="00D06CA3"/>
    <w:rsid w:val="00D07F46"/>
    <w:rsid w:val="00D120F2"/>
    <w:rsid w:val="00D170E5"/>
    <w:rsid w:val="00D27BEB"/>
    <w:rsid w:val="00D3220D"/>
    <w:rsid w:val="00D35CFF"/>
    <w:rsid w:val="00D369E8"/>
    <w:rsid w:val="00D36B73"/>
    <w:rsid w:val="00D37F2F"/>
    <w:rsid w:val="00D415B9"/>
    <w:rsid w:val="00D4196C"/>
    <w:rsid w:val="00D41CB7"/>
    <w:rsid w:val="00D51A76"/>
    <w:rsid w:val="00D528E8"/>
    <w:rsid w:val="00D60BD5"/>
    <w:rsid w:val="00D759F5"/>
    <w:rsid w:val="00D75B11"/>
    <w:rsid w:val="00D771D0"/>
    <w:rsid w:val="00D81A77"/>
    <w:rsid w:val="00D82A96"/>
    <w:rsid w:val="00D835CF"/>
    <w:rsid w:val="00D84C10"/>
    <w:rsid w:val="00DA1350"/>
    <w:rsid w:val="00DA26FB"/>
    <w:rsid w:val="00DB6C3D"/>
    <w:rsid w:val="00DC0DFC"/>
    <w:rsid w:val="00DC1855"/>
    <w:rsid w:val="00DC2093"/>
    <w:rsid w:val="00DC5ACF"/>
    <w:rsid w:val="00DD7468"/>
    <w:rsid w:val="00DE25E9"/>
    <w:rsid w:val="00DE6AD2"/>
    <w:rsid w:val="00DE6C62"/>
    <w:rsid w:val="00DE71D3"/>
    <w:rsid w:val="00DE72CF"/>
    <w:rsid w:val="00DF08A0"/>
    <w:rsid w:val="00DF1657"/>
    <w:rsid w:val="00E00554"/>
    <w:rsid w:val="00E061CE"/>
    <w:rsid w:val="00E07D21"/>
    <w:rsid w:val="00E15179"/>
    <w:rsid w:val="00E34366"/>
    <w:rsid w:val="00E467A2"/>
    <w:rsid w:val="00E46905"/>
    <w:rsid w:val="00E60D05"/>
    <w:rsid w:val="00E63C6F"/>
    <w:rsid w:val="00E70760"/>
    <w:rsid w:val="00E8270C"/>
    <w:rsid w:val="00E9253C"/>
    <w:rsid w:val="00E953B9"/>
    <w:rsid w:val="00E96527"/>
    <w:rsid w:val="00EA0A68"/>
    <w:rsid w:val="00EA3154"/>
    <w:rsid w:val="00EB45B5"/>
    <w:rsid w:val="00EB5E57"/>
    <w:rsid w:val="00EB61DB"/>
    <w:rsid w:val="00EC4C83"/>
    <w:rsid w:val="00EC7702"/>
    <w:rsid w:val="00ED14A5"/>
    <w:rsid w:val="00ED3770"/>
    <w:rsid w:val="00ED4AFD"/>
    <w:rsid w:val="00ED6C5B"/>
    <w:rsid w:val="00EE4FBE"/>
    <w:rsid w:val="00EF3480"/>
    <w:rsid w:val="00EF4191"/>
    <w:rsid w:val="00EF4349"/>
    <w:rsid w:val="00EF5615"/>
    <w:rsid w:val="00F1222D"/>
    <w:rsid w:val="00F13F02"/>
    <w:rsid w:val="00F14A1B"/>
    <w:rsid w:val="00F158CB"/>
    <w:rsid w:val="00F230A9"/>
    <w:rsid w:val="00F25156"/>
    <w:rsid w:val="00F269C3"/>
    <w:rsid w:val="00F313B9"/>
    <w:rsid w:val="00F326F4"/>
    <w:rsid w:val="00F32C1B"/>
    <w:rsid w:val="00F35DF0"/>
    <w:rsid w:val="00F37A86"/>
    <w:rsid w:val="00F41B05"/>
    <w:rsid w:val="00F44581"/>
    <w:rsid w:val="00F464CA"/>
    <w:rsid w:val="00F54F94"/>
    <w:rsid w:val="00F5649A"/>
    <w:rsid w:val="00F664F9"/>
    <w:rsid w:val="00F67DC5"/>
    <w:rsid w:val="00F73E84"/>
    <w:rsid w:val="00F75BD1"/>
    <w:rsid w:val="00F82342"/>
    <w:rsid w:val="00F8329E"/>
    <w:rsid w:val="00F85271"/>
    <w:rsid w:val="00F877DB"/>
    <w:rsid w:val="00F91AE4"/>
    <w:rsid w:val="00F92682"/>
    <w:rsid w:val="00F93C8B"/>
    <w:rsid w:val="00F93DE4"/>
    <w:rsid w:val="00F959DD"/>
    <w:rsid w:val="00F960CB"/>
    <w:rsid w:val="00F960D5"/>
    <w:rsid w:val="00F9711A"/>
    <w:rsid w:val="00FB1231"/>
    <w:rsid w:val="00FC1C5C"/>
    <w:rsid w:val="00FC5767"/>
    <w:rsid w:val="00FD332B"/>
    <w:rsid w:val="00FD6D32"/>
    <w:rsid w:val="00FD7C48"/>
    <w:rsid w:val="00FE17E2"/>
    <w:rsid w:val="00FF4C40"/>
    <w:rsid w:val="00FF4E9D"/>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C32BF9"/>
    <w:rPr>
      <w:rFonts w:ascii="Arial" w:hAnsi="Arial" w:cs="Arial"/>
      <w:b/>
      <w:bCs/>
      <w:sz w:val="28"/>
      <w:szCs w:val="32"/>
      <w:lang w:eastAsia="en-US"/>
    </w:rPr>
  </w:style>
  <w:style w:type="paragraph" w:styleId="BalloonText">
    <w:name w:val="Balloon Text"/>
    <w:basedOn w:val="Normal"/>
    <w:link w:val="BalloonTextChar"/>
    <w:rsid w:val="00914202"/>
    <w:rPr>
      <w:rFonts w:ascii="Tahoma" w:hAnsi="Tahoma" w:cs="Tahoma"/>
      <w:sz w:val="16"/>
      <w:szCs w:val="16"/>
    </w:rPr>
  </w:style>
  <w:style w:type="character" w:customStyle="1" w:styleId="BalloonTextChar">
    <w:name w:val="Balloon Text Char"/>
    <w:basedOn w:val="DefaultParagraphFont"/>
    <w:link w:val="BalloonText"/>
    <w:rsid w:val="00914202"/>
    <w:rPr>
      <w:rFonts w:ascii="Tahoma" w:hAnsi="Tahoma" w:cs="Tahoma"/>
      <w:sz w:val="16"/>
      <w:szCs w:val="16"/>
      <w:lang w:eastAsia="en-US"/>
    </w:rPr>
  </w:style>
  <w:style w:type="character" w:styleId="CommentReference">
    <w:name w:val="annotation reference"/>
    <w:basedOn w:val="DefaultParagraphFont"/>
    <w:rsid w:val="00F92682"/>
    <w:rPr>
      <w:sz w:val="16"/>
      <w:szCs w:val="16"/>
    </w:rPr>
  </w:style>
  <w:style w:type="paragraph" w:styleId="CommentText">
    <w:name w:val="annotation text"/>
    <w:basedOn w:val="Normal"/>
    <w:link w:val="CommentTextChar"/>
    <w:rsid w:val="00F92682"/>
    <w:rPr>
      <w:sz w:val="20"/>
    </w:rPr>
  </w:style>
  <w:style w:type="character" w:customStyle="1" w:styleId="CommentTextChar">
    <w:name w:val="Comment Text Char"/>
    <w:basedOn w:val="DefaultParagraphFont"/>
    <w:link w:val="CommentText"/>
    <w:rsid w:val="00F92682"/>
    <w:rPr>
      <w:rFonts w:ascii="Arial" w:hAnsi="Arial"/>
      <w:lang w:eastAsia="en-US"/>
    </w:rPr>
  </w:style>
  <w:style w:type="paragraph" w:styleId="CommentSubject">
    <w:name w:val="annotation subject"/>
    <w:basedOn w:val="CommentText"/>
    <w:next w:val="CommentText"/>
    <w:link w:val="CommentSubjectChar"/>
    <w:rsid w:val="00F92682"/>
    <w:rPr>
      <w:b/>
      <w:bCs/>
    </w:rPr>
  </w:style>
  <w:style w:type="character" w:customStyle="1" w:styleId="CommentSubjectChar">
    <w:name w:val="Comment Subject Char"/>
    <w:basedOn w:val="CommentTextChar"/>
    <w:link w:val="CommentSubject"/>
    <w:rsid w:val="00F9268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basedOn w:val="DefaultParagraphFont"/>
    <w:link w:val="Heading2"/>
    <w:rsid w:val="00C32BF9"/>
    <w:rPr>
      <w:rFonts w:ascii="Arial" w:hAnsi="Arial" w:cs="Arial"/>
      <w:b/>
      <w:bCs/>
      <w:sz w:val="28"/>
      <w:szCs w:val="32"/>
      <w:lang w:eastAsia="en-US"/>
    </w:rPr>
  </w:style>
  <w:style w:type="paragraph" w:styleId="BalloonText">
    <w:name w:val="Balloon Text"/>
    <w:basedOn w:val="Normal"/>
    <w:link w:val="BalloonTextChar"/>
    <w:rsid w:val="00914202"/>
    <w:rPr>
      <w:rFonts w:ascii="Tahoma" w:hAnsi="Tahoma" w:cs="Tahoma"/>
      <w:sz w:val="16"/>
      <w:szCs w:val="16"/>
    </w:rPr>
  </w:style>
  <w:style w:type="character" w:customStyle="1" w:styleId="BalloonTextChar">
    <w:name w:val="Balloon Text Char"/>
    <w:basedOn w:val="DefaultParagraphFont"/>
    <w:link w:val="BalloonText"/>
    <w:rsid w:val="00914202"/>
    <w:rPr>
      <w:rFonts w:ascii="Tahoma" w:hAnsi="Tahoma" w:cs="Tahoma"/>
      <w:sz w:val="16"/>
      <w:szCs w:val="16"/>
      <w:lang w:eastAsia="en-US"/>
    </w:rPr>
  </w:style>
  <w:style w:type="character" w:styleId="CommentReference">
    <w:name w:val="annotation reference"/>
    <w:basedOn w:val="DefaultParagraphFont"/>
    <w:rsid w:val="00F92682"/>
    <w:rPr>
      <w:sz w:val="16"/>
      <w:szCs w:val="16"/>
    </w:rPr>
  </w:style>
  <w:style w:type="paragraph" w:styleId="CommentText">
    <w:name w:val="annotation text"/>
    <w:basedOn w:val="Normal"/>
    <w:link w:val="CommentTextChar"/>
    <w:rsid w:val="00F92682"/>
    <w:rPr>
      <w:sz w:val="20"/>
    </w:rPr>
  </w:style>
  <w:style w:type="character" w:customStyle="1" w:styleId="CommentTextChar">
    <w:name w:val="Comment Text Char"/>
    <w:basedOn w:val="DefaultParagraphFont"/>
    <w:link w:val="CommentText"/>
    <w:rsid w:val="00F92682"/>
    <w:rPr>
      <w:rFonts w:ascii="Arial" w:hAnsi="Arial"/>
      <w:lang w:eastAsia="en-US"/>
    </w:rPr>
  </w:style>
  <w:style w:type="paragraph" w:styleId="CommentSubject">
    <w:name w:val="annotation subject"/>
    <w:basedOn w:val="CommentText"/>
    <w:next w:val="CommentText"/>
    <w:link w:val="CommentSubjectChar"/>
    <w:rsid w:val="00F92682"/>
    <w:rPr>
      <w:b/>
      <w:bCs/>
    </w:rPr>
  </w:style>
  <w:style w:type="character" w:customStyle="1" w:styleId="CommentSubjectChar">
    <w:name w:val="Comment Subject Char"/>
    <w:basedOn w:val="CommentTextChar"/>
    <w:link w:val="CommentSubject"/>
    <w:rsid w:val="00F9268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4224417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5702628">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61592415">
      <w:bodyDiv w:val="1"/>
      <w:marLeft w:val="0"/>
      <w:marRight w:val="0"/>
      <w:marTop w:val="0"/>
      <w:marBottom w:val="0"/>
      <w:divBdr>
        <w:top w:val="none" w:sz="0" w:space="0" w:color="auto"/>
        <w:left w:val="none" w:sz="0" w:space="0" w:color="auto"/>
        <w:bottom w:val="none" w:sz="0" w:space="0" w:color="auto"/>
        <w:right w:val="none" w:sz="0" w:space="0" w:color="auto"/>
      </w:divBdr>
    </w:div>
    <w:div w:id="1397511207">
      <w:bodyDiv w:val="1"/>
      <w:marLeft w:val="0"/>
      <w:marRight w:val="0"/>
      <w:marTop w:val="0"/>
      <w:marBottom w:val="0"/>
      <w:divBdr>
        <w:top w:val="none" w:sz="0" w:space="0" w:color="auto"/>
        <w:left w:val="none" w:sz="0" w:space="0" w:color="auto"/>
        <w:bottom w:val="none" w:sz="0" w:space="0" w:color="auto"/>
        <w:right w:val="none" w:sz="0" w:space="0" w:color="auto"/>
      </w:divBdr>
      <w:divsChild>
        <w:div w:id="474952646">
          <w:marLeft w:val="0"/>
          <w:marRight w:val="0"/>
          <w:marTop w:val="0"/>
          <w:marBottom w:val="0"/>
          <w:divBdr>
            <w:top w:val="none" w:sz="0" w:space="0" w:color="auto"/>
            <w:left w:val="none" w:sz="0" w:space="0" w:color="auto"/>
            <w:bottom w:val="none" w:sz="0" w:space="0" w:color="auto"/>
            <w:right w:val="none" w:sz="0" w:space="0" w:color="auto"/>
          </w:divBdr>
          <w:divsChild>
            <w:div w:id="880361400">
              <w:marLeft w:val="0"/>
              <w:marRight w:val="0"/>
              <w:marTop w:val="0"/>
              <w:marBottom w:val="0"/>
              <w:divBdr>
                <w:top w:val="none" w:sz="0" w:space="0" w:color="auto"/>
                <w:left w:val="none" w:sz="0" w:space="0" w:color="auto"/>
                <w:bottom w:val="none" w:sz="0" w:space="0" w:color="auto"/>
                <w:right w:val="none" w:sz="0" w:space="0" w:color="auto"/>
              </w:divBdr>
              <w:divsChild>
                <w:div w:id="1190072839">
                  <w:marLeft w:val="0"/>
                  <w:marRight w:val="0"/>
                  <w:marTop w:val="0"/>
                  <w:marBottom w:val="0"/>
                  <w:divBdr>
                    <w:top w:val="none" w:sz="0" w:space="0" w:color="auto"/>
                    <w:left w:val="none" w:sz="0" w:space="0" w:color="auto"/>
                    <w:bottom w:val="none" w:sz="0" w:space="0" w:color="auto"/>
                    <w:right w:val="none" w:sz="0" w:space="0" w:color="auto"/>
                  </w:divBdr>
                  <w:divsChild>
                    <w:div w:id="506865572">
                      <w:marLeft w:val="0"/>
                      <w:marRight w:val="0"/>
                      <w:marTop w:val="0"/>
                      <w:marBottom w:val="0"/>
                      <w:divBdr>
                        <w:top w:val="none" w:sz="0" w:space="0" w:color="auto"/>
                        <w:left w:val="none" w:sz="0" w:space="0" w:color="auto"/>
                        <w:bottom w:val="none" w:sz="0" w:space="0" w:color="auto"/>
                        <w:right w:val="none" w:sz="0" w:space="0" w:color="auto"/>
                      </w:divBdr>
                      <w:divsChild>
                        <w:div w:id="251856577">
                          <w:marLeft w:val="0"/>
                          <w:marRight w:val="0"/>
                          <w:marTop w:val="0"/>
                          <w:marBottom w:val="0"/>
                          <w:divBdr>
                            <w:top w:val="none" w:sz="0" w:space="0" w:color="auto"/>
                            <w:left w:val="none" w:sz="0" w:space="0" w:color="auto"/>
                            <w:bottom w:val="none" w:sz="0" w:space="0" w:color="auto"/>
                            <w:right w:val="none" w:sz="0" w:space="0" w:color="auto"/>
                          </w:divBdr>
                          <w:divsChild>
                            <w:div w:id="520052092">
                              <w:marLeft w:val="0"/>
                              <w:marRight w:val="0"/>
                              <w:marTop w:val="0"/>
                              <w:marBottom w:val="0"/>
                              <w:divBdr>
                                <w:top w:val="none" w:sz="0" w:space="0" w:color="auto"/>
                                <w:left w:val="none" w:sz="0" w:space="0" w:color="auto"/>
                                <w:bottom w:val="none" w:sz="0" w:space="0" w:color="auto"/>
                                <w:right w:val="none" w:sz="0" w:space="0" w:color="auto"/>
                              </w:divBdr>
                              <w:divsChild>
                                <w:div w:id="1632398271">
                                  <w:marLeft w:val="0"/>
                                  <w:marRight w:val="0"/>
                                  <w:marTop w:val="0"/>
                                  <w:marBottom w:val="0"/>
                                  <w:divBdr>
                                    <w:top w:val="none" w:sz="0" w:space="0" w:color="auto"/>
                                    <w:left w:val="none" w:sz="0" w:space="0" w:color="auto"/>
                                    <w:bottom w:val="none" w:sz="0" w:space="0" w:color="auto"/>
                                    <w:right w:val="none" w:sz="0" w:space="0" w:color="auto"/>
                                  </w:divBdr>
                                  <w:divsChild>
                                    <w:div w:id="10563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745664">
      <w:bodyDiv w:val="1"/>
      <w:marLeft w:val="0"/>
      <w:marRight w:val="0"/>
      <w:marTop w:val="0"/>
      <w:marBottom w:val="0"/>
      <w:divBdr>
        <w:top w:val="none" w:sz="0" w:space="0" w:color="auto"/>
        <w:left w:val="none" w:sz="0" w:space="0" w:color="auto"/>
        <w:bottom w:val="none" w:sz="0" w:space="0" w:color="auto"/>
        <w:right w:val="none" w:sz="0" w:space="0" w:color="auto"/>
      </w:divBdr>
    </w:div>
    <w:div w:id="20546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HarrowProtectiveMarking xmlns="e48e9339-ef40-4192-ab59-a15ba5582753">OFFICIAL</HarrowProtectiveMarking>
    <Comparables_x0020_Type xmlns="f308fb9c-47a3-4ba2-acbc-34036edd6fbe" xsi:nil="true"/>
    <Fiscal_x0020_Year xmlns="e48e9339-ef40-4192-ab59-a15ba5582753">FY 2019-20</Fiscal_x0020_Year>
    <nfa6a099c28d4057b8df43010e50cabd xmlns="f308fb9c-47a3-4ba2-acbc-34036edd6fbe">
      <Terms xmlns="http://schemas.microsoft.com/office/infopath/2007/PartnerControls"/>
    </nfa6a099c28d4057b8df43010e50cabd>
    <Correspondence_x0020_Type xmlns="f308fb9c-47a3-4ba2-acbc-34036edd6fbe" xsi:nil="true"/>
    <Document_x0020_Type xmlns="cb1c564f-7b53-4368-842a-89c861a2aba5">Authority Document</Document_x0020_Type>
    <Note_x0020_and_x0020_Report_x0020_Type xmlns="f308fb9c-47a3-4ba2-acbc-34036edd6fbe" xsi:nil="true"/>
    <Valuation_x0020_Type xmlns="f308fb9c-47a3-4ba2-acbc-34036edd6fbe" xsi:nil="true"/>
    <Service_x0020_Category xmlns="f308fb9c-47a3-4ba2-acbc-34036edd6fbe">Disposal</Service_x0020_Category>
    <Authority_x0020_Type xmlns="f308fb9c-47a3-4ba2-acbc-34036edd6fbe">Cabinet-PHD</Authority_x0020_Type>
    <Instructions_x0020_Type xmlns="f308fb9c-47a3-4ba2-acbc-34036edd6f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B872BD43F71847A0860E154661FF5F" ma:contentTypeVersion="16" ma:contentTypeDescription="Create a new document." ma:contentTypeScope="" ma:versionID="93cea60dfc06caee86014b88927db44d">
  <xsd:schema xmlns:xsd="http://www.w3.org/2001/XMLSchema" xmlns:xs="http://www.w3.org/2001/XMLSchema" xmlns:p="http://schemas.microsoft.com/office/2006/metadata/properties" xmlns:ns2="cb1c564f-7b53-4368-842a-89c861a2aba5" xmlns:ns3="e48e9339-ef40-4192-ab59-a15ba5582753" xmlns:ns4="f308fb9c-47a3-4ba2-acbc-34036edd6fbe" targetNamespace="http://schemas.microsoft.com/office/2006/metadata/properties" ma:root="true" ma:fieldsID="cd4319ef364a57e044661381c6933e10" ns2:_="" ns3:_="" ns4:_="">
    <xsd:import namespace="cb1c564f-7b53-4368-842a-89c861a2aba5"/>
    <xsd:import namespace="e48e9339-ef40-4192-ab59-a15ba5582753"/>
    <xsd:import namespace="f308fb9c-47a3-4ba2-acbc-34036edd6fbe"/>
    <xsd:element name="properties">
      <xsd:complexType>
        <xsd:sequence>
          <xsd:element name="documentManagement">
            <xsd:complexType>
              <xsd:all>
                <xsd:element ref="ns2:Document_x0020_Type"/>
                <xsd:element ref="ns3:HarrowProtectiveMarking"/>
                <xsd:element ref="ns4:Service_x0020_Category"/>
                <xsd:element ref="ns4:Note_x0020_and_x0020_Report_x0020_Type" minOccurs="0"/>
                <xsd:element ref="ns4:Authority_x0020_Type" minOccurs="0"/>
                <xsd:element ref="ns4:Comparables_x0020_Type" minOccurs="0"/>
                <xsd:element ref="ns4:Correspondence_x0020_Type" minOccurs="0"/>
                <xsd:element ref="ns4:Instructions_x0020_Type" minOccurs="0"/>
                <xsd:element ref="ns4:Valuation_x0020_Type" minOccurs="0"/>
                <xsd:element ref="ns3:Fiscal_x0020_Year" minOccurs="0"/>
                <xsd:element ref="ns4:nfa6a099c28d4057b8df43010e50cab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564f-7b53-4368-842a-89c861a2aba5"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Authority Document"/>
          <xsd:enumeration value="Comparables"/>
          <xsd:enumeration value="Correspondence"/>
          <xsd:enumeration value="CPD"/>
          <xsd:enumeration value="EPC"/>
          <xsd:enumeration value="Floor Plan"/>
          <xsd:enumeration value="Instruction Document"/>
          <xsd:enumeration value="Lease/Licence Agreement"/>
          <xsd:enumeration value="Legal Notice"/>
          <xsd:enumeration value="Note /Report"/>
          <xsd:enumeration value="OS Plan"/>
          <xsd:enumeration value="Photo"/>
          <xsd:enumeration value="Planning Application Form/Plan"/>
          <xsd:enumeration value="Purchase Order"/>
          <xsd:enumeration value="Quote/Tender Document"/>
          <xsd:enumeration value="Rating"/>
          <xsd:enumeration value="Service Charge Document"/>
          <xsd:enumeration value="Site Plan"/>
          <xsd:enumeration value="SLA"/>
          <xsd:enumeration value="Source Data"/>
          <xsd:enumeration value="Spreadsheet"/>
          <xsd:enumeration value="Title Plan/Document"/>
          <xsd:enumeration value="Transfer Plan"/>
          <xsd:enumeration value="Valuation"/>
        </xsd:restriction>
      </xsd:simple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ProtectiveMarking" ma:index="3"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Fiscal_x0020_Year" ma:index="12" nillable="true"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CatchAll" ma:index="16" nillable="true" ma:displayName="Taxonomy Catch All Column" ma:hidden="true" ma:list="{ea179e78-af3a-46b7-9c43-360cbd415967}" ma:internalName="TaxCatchAll" ma:showField="CatchAllData" ma:web="f308fb9c-47a3-4ba2-acbc-34036edd6f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8fb9c-47a3-4ba2-acbc-34036edd6fbe" elementFormDefault="qualified">
    <xsd:import namespace="http://schemas.microsoft.com/office/2006/documentManagement/types"/>
    <xsd:import namespace="http://schemas.microsoft.com/office/infopath/2007/PartnerControls"/>
    <xsd:element name="Service_x0020_Category" ma:index="5" ma:displayName="Service Category" ma:format="Dropdown" ma:internalName="Service_x0020_Category">
      <xsd:simpleType>
        <xsd:restriction base="dms:Choice">
          <xsd:enumeration value="Acquisition"/>
          <xsd:enumeration value="Encroachment"/>
          <xsd:enumeration value="Capital Accounting GENERAL FUND"/>
          <xsd:enumeration value="Capital Accounting HRA"/>
          <xsd:enumeration value="CPD"/>
          <xsd:enumeration value="Disposal"/>
          <xsd:enumeration value="Miscellaneous"/>
          <xsd:enumeration value="Property Management"/>
          <xsd:enumeration value="RTB"/>
        </xsd:restriction>
      </xsd:simpleType>
    </xsd:element>
    <xsd:element name="Note_x0020_and_x0020_Report_x0020_Type" ma:index="6" nillable="true" ma:displayName="Note/Report Type" ma:format="Dropdown" ma:internalName="Note_x0020_and_x0020_Report_x0020_Type">
      <xsd:simpleType>
        <xsd:restriction base="dms:Choice">
          <xsd:enumeration value="Site Inspection"/>
          <xsd:enumeration value="Survey"/>
          <xsd:enumeration value="Cabinet -PHD"/>
          <xsd:enumeration value="File Note"/>
          <xsd:enumeration value="Briefing Note"/>
          <xsd:enumeration value="General"/>
        </xsd:restriction>
      </xsd:simpleType>
    </xsd:element>
    <xsd:element name="Authority_x0020_Type" ma:index="7" nillable="true" ma:displayName="Authority Type" ma:format="Dropdown" ma:internalName="Authority_x0020_Type">
      <xsd:simpleType>
        <xsd:restriction base="dms:Choice">
          <xsd:enumeration value="Cabinet-PHD"/>
          <xsd:enumeration value="Delegated"/>
          <xsd:enumeration value="General/Misc"/>
        </xsd:restriction>
      </xsd:simpleType>
    </xsd:element>
    <xsd:element name="Comparables_x0020_Type" ma:index="8" nillable="true" ma:displayName="Comparables Type" ma:format="Dropdown" ma:internalName="Comparables_x0020_Type">
      <xsd:simpleType>
        <xsd:restriction base="dms:Choice">
          <xsd:enumeration value="Asset Valuation"/>
          <xsd:enumeration value="RTB Valuation"/>
          <xsd:enumeration value="Insurance"/>
          <xsd:enumeration value="Expert"/>
          <xsd:enumeration value="General/Misc"/>
        </xsd:restriction>
      </xsd:simpleType>
    </xsd:element>
    <xsd:element name="Correspondence_x0020_Type" ma:index="9" nillable="true" ma:displayName="Correspondence Type" ma:format="Dropdown" ma:internalName="Correspondence_x0020_Type">
      <xsd:simpleType>
        <xsd:restriction base="dms:Choice">
          <xsd:enumeration value="Email/postal Correspondences"/>
          <xsd:enumeration value="Invoices- PO- EPC- Quote"/>
          <xsd:enumeration value="Statement"/>
          <xsd:enumeration value="References"/>
          <xsd:enumeration value="Draft Leases"/>
          <xsd:enumeration value="Licences"/>
        </xsd:restriction>
      </xsd:simpleType>
    </xsd:element>
    <xsd:element name="Instructions_x0020_Type" ma:index="10" nillable="true" ma:displayName="Instructions Type" ma:format="Dropdown" ma:internalName="Instructions_x0020_Type">
      <xsd:simpleType>
        <xsd:restriction base="dms:Choice">
          <xsd:enumeration value="Cabinet-PHD"/>
          <xsd:enumeration value="Delegated"/>
          <xsd:enumeration value="General/Misc"/>
        </xsd:restriction>
      </xsd:simpleType>
    </xsd:element>
    <xsd:element name="Valuation_x0020_Type" ma:index="11" nillable="true" ma:displayName="Valuation Type" ma:format="Dropdown" ma:internalName="Valuation_x0020_Type">
      <xsd:simpleType>
        <xsd:restriction base="dms:Choice">
          <xsd:enumeration value="Asset Valuation"/>
          <xsd:enumeration value="Comparables"/>
          <xsd:enumeration value="Expert"/>
          <xsd:enumeration value="General/Misc"/>
          <xsd:enumeration value="Insurance"/>
          <xsd:enumeration value="RTB Valuation"/>
          <xsd:enumeration value="Rental Valuation"/>
        </xsd:restriction>
      </xsd:simpleType>
    </xsd:element>
    <xsd:element name="nfa6a099c28d4057b8df43010e50cabd" ma:index="15" ma:taxonomy="true" ma:internalName="nfa6a099c28d4057b8df43010e50cabd" ma:taxonomyFieldName="PropertyName" ma:displayName="Property Name" ma:indexed="true" ma:readOnly="false" ma:default="" ma:fieldId="{7fa6a099-c28d-4057-b8df-43010e50cabd}" ma:sspId="b11bda97-64e7-4000-91fd-dcaad77bf85d" ma:termSetId="e625338d-d2cc-4395-912a-7b79852901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documentManagement/types"/>
    <ds:schemaRef ds:uri="e48e9339-ef40-4192-ab59-a15ba5582753"/>
    <ds:schemaRef ds:uri="http://purl.org/dc/elements/1.1/"/>
    <ds:schemaRef ds:uri="f308fb9c-47a3-4ba2-acbc-34036edd6fbe"/>
    <ds:schemaRef ds:uri="http://schemas.microsoft.com/office/infopath/2007/PartnerControls"/>
    <ds:schemaRef ds:uri="cb1c564f-7b53-4368-842a-89c861a2aba5"/>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DF60B5-EAD1-419D-B098-19958A1CE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564f-7b53-4368-842a-89c861a2aba5"/>
    <ds:schemaRef ds:uri="e48e9339-ef40-4192-ab59-a15ba5582753"/>
    <ds:schemaRef ds:uri="f308fb9c-47a3-4ba2-acbc-34036edd6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31F1E3-5961-4208-A80D-2CA39EF1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4549</Words>
  <Characters>24116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28608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2020-01-30T16:48:00Z</cp:lastPrinted>
  <dcterms:created xsi:type="dcterms:W3CDTF">2020-03-09T15:44:00Z</dcterms:created>
  <dcterms:modified xsi:type="dcterms:W3CDTF">2020-03-11T14:19:00Z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0x0101009BB872BD43F71847A0860E154661FF5F</vt:lpwstr>
  </property>
  <property fmtid="{D5CDD505-2E9C-101B-9397-08002B2CF9AE}" pid="3" name="TaxKeyword">
    <vt:lpwstr>108;#Cabinet Report Template|b79b58f4-03f4-47dd-bec7-7bae4bc4af23</vt:lpwstr>
  </property>
  <property fmtid="{D5CDD505-2E9C-101B-9397-08002B2CF9AE}" pid="4" name="_DocHome">
    <vt:i4>-782821668</vt:i4>
  </property>
</Properties>
</file>